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19B3D0" w14:textId="77777777" w:rsidR="005E3082" w:rsidRPr="00DF37F5" w:rsidRDefault="00DF37F5" w:rsidP="00DF37F5">
      <w:pPr>
        <w:spacing w:after="0"/>
        <w:jc w:val="center"/>
        <w:rPr>
          <w:b/>
          <w:sz w:val="24"/>
          <w:szCs w:val="24"/>
        </w:rPr>
      </w:pPr>
      <w:bookmarkStart w:id="0" w:name="_GoBack"/>
      <w:bookmarkEnd w:id="0"/>
      <w:r w:rsidRPr="00DF37F5">
        <w:rPr>
          <w:b/>
          <w:sz w:val="24"/>
          <w:szCs w:val="24"/>
        </w:rPr>
        <w:t>Metropolitan Transportation Commission</w:t>
      </w:r>
    </w:p>
    <w:p w14:paraId="01142EB9" w14:textId="7BA2821F" w:rsidR="00DF37F5" w:rsidRDefault="00F638EB" w:rsidP="00DF37F5">
      <w:pPr>
        <w:spacing w:after="0"/>
        <w:jc w:val="center"/>
        <w:rPr>
          <w:b/>
          <w:sz w:val="28"/>
          <w:szCs w:val="28"/>
        </w:rPr>
      </w:pPr>
      <w:r w:rsidRPr="00742E3A">
        <w:rPr>
          <w:b/>
          <w:sz w:val="28"/>
          <w:szCs w:val="28"/>
        </w:rPr>
        <w:t xml:space="preserve">Cycle </w:t>
      </w:r>
      <w:r w:rsidR="008D0154">
        <w:rPr>
          <w:b/>
          <w:sz w:val="28"/>
          <w:szCs w:val="28"/>
        </w:rPr>
        <w:t>3</w:t>
      </w:r>
      <w:r w:rsidRPr="00742E3A">
        <w:rPr>
          <w:b/>
          <w:sz w:val="28"/>
          <w:szCs w:val="28"/>
        </w:rPr>
        <w:t xml:space="preserve"> Regional Competitive Active Transportation Program (ATP) </w:t>
      </w:r>
    </w:p>
    <w:p w14:paraId="7E5121EE" w14:textId="77777777" w:rsidR="00F638EB" w:rsidRPr="00742E3A" w:rsidRDefault="00DF37F5" w:rsidP="00DF37F5">
      <w:pPr>
        <w:spacing w:after="0"/>
        <w:jc w:val="center"/>
        <w:rPr>
          <w:b/>
          <w:sz w:val="28"/>
          <w:szCs w:val="28"/>
        </w:rPr>
      </w:pPr>
      <w:r>
        <w:rPr>
          <w:b/>
          <w:sz w:val="28"/>
          <w:szCs w:val="28"/>
        </w:rPr>
        <w:t xml:space="preserve">Supplemental Project </w:t>
      </w:r>
      <w:r w:rsidR="00F638EB" w:rsidRPr="00742E3A">
        <w:rPr>
          <w:b/>
          <w:sz w:val="28"/>
          <w:szCs w:val="28"/>
        </w:rPr>
        <w:t>Application</w:t>
      </w:r>
    </w:p>
    <w:p w14:paraId="098FA68B" w14:textId="7BE374AA" w:rsidR="00F638EB" w:rsidRPr="00DF37F5" w:rsidRDefault="008D0154" w:rsidP="00DF37F5">
      <w:pPr>
        <w:spacing w:after="0"/>
        <w:jc w:val="center"/>
        <w:rPr>
          <w:b/>
          <w:sz w:val="24"/>
          <w:szCs w:val="24"/>
        </w:rPr>
      </w:pPr>
      <w:r>
        <w:rPr>
          <w:b/>
          <w:sz w:val="24"/>
          <w:szCs w:val="24"/>
        </w:rPr>
        <w:t>Call for Projects: April 15, 2016</w:t>
      </w:r>
    </w:p>
    <w:p w14:paraId="574D9144" w14:textId="77777777" w:rsidR="002932B8" w:rsidRDefault="002932B8" w:rsidP="00F638EB">
      <w:pPr>
        <w:spacing w:after="0"/>
        <w:rPr>
          <w:b/>
        </w:rPr>
      </w:pPr>
    </w:p>
    <w:p w14:paraId="66F4E3E8" w14:textId="77777777" w:rsidR="00742E3A" w:rsidRPr="00742E3A" w:rsidRDefault="00D30E7C" w:rsidP="00F638EB">
      <w:pPr>
        <w:spacing w:after="0"/>
        <w:rPr>
          <w:b/>
        </w:rPr>
      </w:pPr>
      <w:r>
        <w:rPr>
          <w:b/>
        </w:rPr>
        <w:t>SUPPLEMENTAL</w:t>
      </w:r>
      <w:r w:rsidR="00742E3A" w:rsidRPr="00742E3A">
        <w:rPr>
          <w:b/>
        </w:rPr>
        <w:t xml:space="preserve"> QUESTIONS</w:t>
      </w:r>
    </w:p>
    <w:p w14:paraId="5BD82B13" w14:textId="4AD03BD9" w:rsidR="00742E3A" w:rsidRDefault="00DF37F5" w:rsidP="00742E3A">
      <w:pPr>
        <w:spacing w:after="0"/>
      </w:pPr>
      <w:r>
        <w:t>In addition to the Statewide ATP Application Form, applicants interested in applying for regional competitive ATP funds must include answers to these supplemental questions. Additional information on the MTC regional competitive ATP</w:t>
      </w:r>
      <w:r w:rsidR="00D30E7C">
        <w:t xml:space="preserve"> and application materials</w:t>
      </w:r>
      <w:r>
        <w:t xml:space="preserve"> is available at:</w:t>
      </w:r>
      <w:r w:rsidR="008D0154">
        <w:t xml:space="preserve"> </w:t>
      </w:r>
      <w:hyperlink r:id="rId8" w:history="1">
        <w:r w:rsidR="008D0154" w:rsidRPr="00AA1BF9">
          <w:rPr>
            <w:rStyle w:val="Hyperlink"/>
          </w:rPr>
          <w:t>http://mtc.ca.gov/our-work/invest-protect/investment-strategies-commitments/protect-our-climate/active-transportation</w:t>
        </w:r>
      </w:hyperlink>
      <w:r>
        <w:t xml:space="preserve">. </w:t>
      </w:r>
    </w:p>
    <w:p w14:paraId="0EF9520B" w14:textId="77777777" w:rsidR="00742E3A" w:rsidRDefault="00742E3A" w:rsidP="00742E3A">
      <w:pPr>
        <w:spacing w:after="0"/>
      </w:pPr>
    </w:p>
    <w:p w14:paraId="0DCD372E" w14:textId="77777777" w:rsidR="00DF37F5" w:rsidRPr="00DF37F5" w:rsidRDefault="00DF37F5" w:rsidP="00742E3A">
      <w:pPr>
        <w:spacing w:after="0"/>
        <w:rPr>
          <w:b/>
        </w:rPr>
      </w:pPr>
      <w:r>
        <w:rPr>
          <w:b/>
        </w:rPr>
        <w:t>PROJECT INFORMATION</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907"/>
        <w:gridCol w:w="2245"/>
        <w:gridCol w:w="4310"/>
        <w:gridCol w:w="898"/>
      </w:tblGrid>
      <w:tr w:rsidR="00DF37F5" w14:paraId="009F646C" w14:textId="77777777" w:rsidTr="00A93CE7">
        <w:tc>
          <w:tcPr>
            <w:tcW w:w="1908" w:type="dxa"/>
            <w:tcBorders>
              <w:top w:val="nil"/>
              <w:bottom w:val="nil"/>
            </w:tcBorders>
          </w:tcPr>
          <w:p w14:paraId="14CAA89E" w14:textId="77777777" w:rsidR="00DF37F5" w:rsidRDefault="00DF37F5" w:rsidP="00DF37F5">
            <w:pPr>
              <w:jc w:val="right"/>
            </w:pPr>
            <w:r>
              <w:t>Applicant Agency:</w:t>
            </w:r>
          </w:p>
        </w:tc>
        <w:tc>
          <w:tcPr>
            <w:tcW w:w="2250" w:type="dxa"/>
            <w:tcBorders>
              <w:top w:val="nil"/>
              <w:bottom w:val="single" w:sz="4" w:space="0" w:color="auto"/>
            </w:tcBorders>
          </w:tcPr>
          <w:p w14:paraId="3DB3851F" w14:textId="77777777" w:rsidR="00DF37F5" w:rsidRDefault="00DF37F5" w:rsidP="00742E3A"/>
        </w:tc>
        <w:tc>
          <w:tcPr>
            <w:tcW w:w="4320" w:type="dxa"/>
            <w:tcBorders>
              <w:top w:val="nil"/>
              <w:bottom w:val="single" w:sz="4" w:space="0" w:color="auto"/>
            </w:tcBorders>
          </w:tcPr>
          <w:p w14:paraId="2B06DA4B" w14:textId="77777777" w:rsidR="00DF37F5" w:rsidRDefault="00DF37F5" w:rsidP="00DF37F5">
            <w:pPr>
              <w:jc w:val="right"/>
            </w:pPr>
          </w:p>
        </w:tc>
        <w:tc>
          <w:tcPr>
            <w:tcW w:w="900" w:type="dxa"/>
            <w:tcBorders>
              <w:top w:val="nil"/>
              <w:bottom w:val="nil"/>
            </w:tcBorders>
          </w:tcPr>
          <w:p w14:paraId="40F13587" w14:textId="77777777" w:rsidR="00DF37F5" w:rsidRDefault="00DF37F5" w:rsidP="00742E3A"/>
        </w:tc>
      </w:tr>
      <w:tr w:rsidR="00DF37F5" w14:paraId="57AD4022" w14:textId="77777777" w:rsidTr="00A93CE7">
        <w:tc>
          <w:tcPr>
            <w:tcW w:w="1908" w:type="dxa"/>
            <w:tcBorders>
              <w:top w:val="nil"/>
              <w:bottom w:val="nil"/>
            </w:tcBorders>
          </w:tcPr>
          <w:p w14:paraId="7DDC37AE" w14:textId="77777777" w:rsidR="00DF37F5" w:rsidRDefault="00DF37F5" w:rsidP="00DF37F5">
            <w:pPr>
              <w:jc w:val="right"/>
            </w:pPr>
            <w:r>
              <w:t>Project Title:</w:t>
            </w:r>
          </w:p>
        </w:tc>
        <w:tc>
          <w:tcPr>
            <w:tcW w:w="2250" w:type="dxa"/>
            <w:tcBorders>
              <w:top w:val="single" w:sz="4" w:space="0" w:color="auto"/>
            </w:tcBorders>
          </w:tcPr>
          <w:p w14:paraId="0451141D" w14:textId="77777777" w:rsidR="00DF37F5" w:rsidRDefault="00DF37F5" w:rsidP="00742E3A"/>
        </w:tc>
        <w:tc>
          <w:tcPr>
            <w:tcW w:w="4320" w:type="dxa"/>
            <w:tcBorders>
              <w:top w:val="single" w:sz="4" w:space="0" w:color="auto"/>
              <w:bottom w:val="single" w:sz="4" w:space="0" w:color="auto"/>
            </w:tcBorders>
          </w:tcPr>
          <w:p w14:paraId="357D4BF7" w14:textId="77777777" w:rsidR="00DF37F5" w:rsidRDefault="00DF37F5" w:rsidP="009360FD">
            <w:pPr>
              <w:jc w:val="right"/>
            </w:pPr>
          </w:p>
        </w:tc>
        <w:tc>
          <w:tcPr>
            <w:tcW w:w="900" w:type="dxa"/>
            <w:tcBorders>
              <w:top w:val="nil"/>
              <w:bottom w:val="nil"/>
            </w:tcBorders>
          </w:tcPr>
          <w:p w14:paraId="22D81BBF" w14:textId="77777777" w:rsidR="00DF37F5" w:rsidRDefault="00DF37F5" w:rsidP="00742E3A"/>
        </w:tc>
      </w:tr>
      <w:tr w:rsidR="00DF37F5" w14:paraId="101A30CF" w14:textId="77777777" w:rsidTr="00A93CE7">
        <w:tc>
          <w:tcPr>
            <w:tcW w:w="1908" w:type="dxa"/>
            <w:tcBorders>
              <w:top w:val="nil"/>
              <w:bottom w:val="nil"/>
            </w:tcBorders>
          </w:tcPr>
          <w:p w14:paraId="2C8238B6" w14:textId="77777777" w:rsidR="00DF37F5" w:rsidRDefault="00DF37F5" w:rsidP="00DF37F5">
            <w:pPr>
              <w:jc w:val="right"/>
            </w:pPr>
            <w:r>
              <w:t>ATP $ Requested:</w:t>
            </w:r>
          </w:p>
        </w:tc>
        <w:tc>
          <w:tcPr>
            <w:tcW w:w="2250" w:type="dxa"/>
          </w:tcPr>
          <w:p w14:paraId="1AC66839" w14:textId="77777777" w:rsidR="00DF37F5" w:rsidRDefault="00DF37F5" w:rsidP="00742E3A"/>
        </w:tc>
        <w:tc>
          <w:tcPr>
            <w:tcW w:w="4320" w:type="dxa"/>
            <w:tcBorders>
              <w:top w:val="single" w:sz="4" w:space="0" w:color="auto"/>
              <w:bottom w:val="nil"/>
            </w:tcBorders>
          </w:tcPr>
          <w:p w14:paraId="48991ED5" w14:textId="77777777" w:rsidR="00DF37F5" w:rsidRDefault="00DF37F5" w:rsidP="00DF37F5">
            <w:pPr>
              <w:jc w:val="right"/>
            </w:pPr>
          </w:p>
        </w:tc>
        <w:tc>
          <w:tcPr>
            <w:tcW w:w="900" w:type="dxa"/>
            <w:tcBorders>
              <w:top w:val="nil"/>
              <w:bottom w:val="nil"/>
            </w:tcBorders>
          </w:tcPr>
          <w:p w14:paraId="3540C033" w14:textId="77777777" w:rsidR="00DF37F5" w:rsidRDefault="00DF37F5" w:rsidP="00742E3A"/>
        </w:tc>
      </w:tr>
    </w:tbl>
    <w:p w14:paraId="57CF253A" w14:textId="77777777" w:rsidR="00A93CE7" w:rsidRDefault="00A93CE7" w:rsidP="00742E3A">
      <w:pPr>
        <w:spacing w:after="0"/>
      </w:pPr>
      <w:r>
        <w:rPr>
          <w:noProof/>
        </w:rPr>
        <mc:AlternateContent>
          <mc:Choice Requires="wps">
            <w:drawing>
              <wp:anchor distT="0" distB="0" distL="114300" distR="114300" simplePos="0" relativeHeight="251667456" behindDoc="0" locked="0" layoutInCell="1" allowOverlap="1" wp14:anchorId="4C8FD85E" wp14:editId="456C5BED">
                <wp:simplePos x="0" y="0"/>
                <wp:positionH relativeFrom="column">
                  <wp:posOffset>2178050</wp:posOffset>
                </wp:positionH>
                <wp:positionV relativeFrom="paragraph">
                  <wp:posOffset>20320</wp:posOffset>
                </wp:positionV>
                <wp:extent cx="241300" cy="161290"/>
                <wp:effectExtent l="0" t="0" r="25400" b="10160"/>
                <wp:wrapNone/>
                <wp:docPr id="2" name="Flowchart: Process 2"/>
                <wp:cNvGraphicFramePr/>
                <a:graphic xmlns:a="http://schemas.openxmlformats.org/drawingml/2006/main">
                  <a:graphicData uri="http://schemas.microsoft.com/office/word/2010/wordprocessingShape">
                    <wps:wsp>
                      <wps:cNvSpPr/>
                      <wps:spPr>
                        <a:xfrm>
                          <a:off x="0" y="0"/>
                          <a:ext cx="241300" cy="161290"/>
                        </a:xfrm>
                        <a:prstGeom prst="flowChart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BDE479" id="_x0000_t109" coordsize="21600,21600" o:spt="109" path="m,l,21600r21600,l21600,xe">
                <v:stroke joinstyle="miter"/>
                <v:path gradientshapeok="t" o:connecttype="rect"/>
              </v:shapetype>
              <v:shape id="Flowchart: Process 2" o:spid="_x0000_s1026" type="#_x0000_t109" style="position:absolute;margin-left:171.5pt;margin-top:1.6pt;width:19pt;height:1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" filled="f" strokecolor="black [3213]" strokeweight="1pt"/>
            </w:pict>
          </mc:Fallback>
        </mc:AlternateContent>
      </w:r>
      <w:r>
        <w:t>Applied for State ATP?</w:t>
      </w:r>
      <w:r>
        <w:tab/>
      </w:r>
      <w:r>
        <w:tab/>
        <w:t>Y/N</w:t>
      </w:r>
    </w:p>
    <w:p w14:paraId="40D40C78" w14:textId="77777777" w:rsidR="00A93CE7" w:rsidRDefault="00A93CE7" w:rsidP="00742E3A">
      <w:pPr>
        <w:spacing w:after="0"/>
      </w:pPr>
      <w:r>
        <w:rPr>
          <w:noProof/>
        </w:rPr>
        <mc:AlternateContent>
          <mc:Choice Requires="wps">
            <w:drawing>
              <wp:anchor distT="0" distB="0" distL="114300" distR="114300" simplePos="0" relativeHeight="251669504" behindDoc="0" locked="0" layoutInCell="1" allowOverlap="1" wp14:anchorId="690F5B67" wp14:editId="0D326320">
                <wp:simplePos x="0" y="0"/>
                <wp:positionH relativeFrom="column">
                  <wp:posOffset>2178050</wp:posOffset>
                </wp:positionH>
                <wp:positionV relativeFrom="paragraph">
                  <wp:posOffset>1905</wp:posOffset>
                </wp:positionV>
                <wp:extent cx="241300" cy="161290"/>
                <wp:effectExtent l="0" t="0" r="25400" b="10160"/>
                <wp:wrapNone/>
                <wp:docPr id="5" name="Flowchart: Process 5"/>
                <wp:cNvGraphicFramePr/>
                <a:graphic xmlns:a="http://schemas.openxmlformats.org/drawingml/2006/main">
                  <a:graphicData uri="http://schemas.microsoft.com/office/word/2010/wordprocessingShape">
                    <wps:wsp>
                      <wps:cNvSpPr/>
                      <wps:spPr>
                        <a:xfrm>
                          <a:off x="0" y="0"/>
                          <a:ext cx="241300" cy="161290"/>
                        </a:xfrm>
                        <a:prstGeom prst="flowChart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BCF3D3" id="Flowchart: Process 5" o:spid="_x0000_s1026" type="#_x0000_t109" style="position:absolute;margin-left:171.5pt;margin-top:.15pt;width:19pt;height:1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" filled="f" strokecolor="black [3213]" strokeweight="1pt"/>
            </w:pict>
          </mc:Fallback>
        </mc:AlternateContent>
      </w:r>
      <w:r>
        <w:t>Same scope/cost as State App.?</w:t>
      </w:r>
      <w:r w:rsidRPr="00A93CE7">
        <w:t xml:space="preserve"> </w:t>
      </w:r>
      <w:r>
        <w:t>Y/N</w:t>
      </w:r>
    </w:p>
    <w:p w14:paraId="21EF2EBD" w14:textId="4FE17DA6" w:rsidR="00DF37F5" w:rsidRDefault="009360FD" w:rsidP="00742E3A">
      <w:pPr>
        <w:spacing w:after="0"/>
      </w:pPr>
      <w:r>
        <w:t xml:space="preserve">If you answered “No” to the above question, please explain </w:t>
      </w:r>
      <w:r w:rsidR="00C1448D">
        <w:t>(</w:t>
      </w:r>
      <w:r w:rsidR="00D96012">
        <w:t xml:space="preserve">below or </w:t>
      </w:r>
      <w:r w:rsidR="00C1448D">
        <w:t>on separate page)</w:t>
      </w:r>
      <w:r>
        <w:t>.</w:t>
      </w:r>
    </w:p>
    <w:p w14:paraId="6FE0C5A6" w14:textId="77777777" w:rsidR="009360FD" w:rsidRDefault="009360FD" w:rsidP="00742E3A">
      <w:pPr>
        <w:spacing w:after="0"/>
      </w:pPr>
    </w:p>
    <w:p w14:paraId="1D0B6BF7" w14:textId="77777777" w:rsidR="00290EE7" w:rsidRPr="00B718C3" w:rsidRDefault="00290EE7" w:rsidP="00290EE7">
      <w:pPr>
        <w:spacing w:after="0"/>
        <w:rPr>
          <w:b/>
          <w:u w:val="single"/>
        </w:rPr>
      </w:pPr>
      <w:r w:rsidRPr="00B718C3">
        <w:rPr>
          <w:b/>
          <w:u w:val="single"/>
        </w:rPr>
        <w:t>SCREENING CRITERIA</w:t>
      </w:r>
    </w:p>
    <w:p w14:paraId="5A39A38B" w14:textId="77777777" w:rsidR="00353DF9" w:rsidRPr="00DF37F5" w:rsidRDefault="00F94030" w:rsidP="00DF37F5">
      <w:pPr>
        <w:pStyle w:val="ListParagraph"/>
        <w:numPr>
          <w:ilvl w:val="0"/>
          <w:numId w:val="2"/>
        </w:numPr>
        <w:spacing w:after="0"/>
        <w:rPr>
          <w:b/>
        </w:rPr>
      </w:pPr>
      <w:r>
        <w:rPr>
          <w:b/>
        </w:rPr>
        <w:t>BENEFIT TO REGION</w:t>
      </w:r>
      <w:r w:rsidR="00353DF9" w:rsidRPr="00DF37F5">
        <w:rPr>
          <w:b/>
        </w:rPr>
        <w:t>’S COMMUNI</w:t>
      </w:r>
      <w:r w:rsidR="00A93CE7">
        <w:rPr>
          <w:b/>
        </w:rPr>
        <w:t>T</w:t>
      </w:r>
      <w:r w:rsidR="00353DF9" w:rsidRPr="00DF37F5">
        <w:rPr>
          <w:b/>
        </w:rPr>
        <w:t>IES OF CONCERN</w:t>
      </w:r>
    </w:p>
    <w:p w14:paraId="7043E9E7" w14:textId="4A63D70D" w:rsidR="00DF37F5" w:rsidRDefault="00DF37F5" w:rsidP="00DF37F5">
      <w:pPr>
        <w:spacing w:after="0"/>
      </w:pPr>
      <w:r>
        <w:t>The MTC region has adopted a measure to define Disadvantaged Communities known as “Communities of Concern”.</w:t>
      </w:r>
      <w:r w:rsidR="00226A25">
        <w:t xml:space="preserve"> An online map is available at </w:t>
      </w:r>
      <w:hyperlink r:id="rId9" w:history="1">
        <w:r w:rsidR="00226A25" w:rsidRPr="00515029">
          <w:rPr>
            <w:rStyle w:val="Hyperlink"/>
          </w:rPr>
          <w:t>http://arcg.is/1LYEqSm</w:t>
        </w:r>
      </w:hyperlink>
      <w:r w:rsidR="00226A25">
        <w:t xml:space="preserve">. </w:t>
      </w:r>
      <w:r>
        <w:t>Refer to pages 5-6 of the Regional Competitive</w:t>
      </w:r>
      <w:r w:rsidR="00226A25">
        <w:t xml:space="preserve"> Cycle 3</w:t>
      </w:r>
      <w:r>
        <w:t xml:space="preserve"> ATP Guidelines</w:t>
      </w:r>
      <w:r w:rsidR="00226A25">
        <w:t xml:space="preserve"> (MTC Resolution No. 4218)</w:t>
      </w:r>
      <w:r>
        <w:t>, Attachment A for more information</w:t>
      </w:r>
      <w:r w:rsidR="00996658">
        <w:t xml:space="preserve"> </w:t>
      </w:r>
      <w:r w:rsidR="00BC7A09">
        <w:t>(</w:t>
      </w:r>
      <w:r w:rsidR="00A86497">
        <w:t xml:space="preserve">see </w:t>
      </w:r>
      <w:hyperlink r:id="rId10" w:history="1">
        <w:r w:rsidR="00A86497" w:rsidRPr="00AA1BF9">
          <w:rPr>
            <w:rStyle w:val="Hyperlink"/>
          </w:rPr>
          <w:t>http://mtc.ca.gov/our-work/invest-protect/investment-strategies-commitments/protect-our-climate/active-transportation</w:t>
        </w:r>
      </w:hyperlink>
      <w:r w:rsidR="00BC7A09">
        <w:t>).</w:t>
      </w:r>
      <w:r w:rsidR="00226A25">
        <w:t xml:space="preserve"> </w:t>
      </w:r>
    </w:p>
    <w:p w14:paraId="78713E06" w14:textId="77777777" w:rsidR="00DF37F5" w:rsidRDefault="00DF37F5" w:rsidP="00DF37F5">
      <w:pPr>
        <w:spacing w:after="0"/>
      </w:pPr>
    </w:p>
    <w:p w14:paraId="2B6556CE" w14:textId="50938C6B" w:rsidR="00742E3A" w:rsidRDefault="00742E3A" w:rsidP="00DF37F5">
      <w:pPr>
        <w:spacing w:after="0"/>
      </w:pPr>
      <w:r>
        <w:t xml:space="preserve">Benefit to </w:t>
      </w:r>
      <w:r w:rsidR="00447B96">
        <w:t>r</w:t>
      </w:r>
      <w:r w:rsidR="00F94030">
        <w:t>egion’s</w:t>
      </w:r>
      <w:r w:rsidR="000E2B88">
        <w:t xml:space="preserve"> Communities of Concern (this question will be used for screening criteria only to determine if </w:t>
      </w:r>
      <w:r w:rsidR="00400B66">
        <w:t>the region</w:t>
      </w:r>
      <w:r w:rsidR="000E2B88">
        <w:t xml:space="preserve"> meets the state 25% programming goal for projects that benefit disadvantaged communities)</w:t>
      </w:r>
      <w:r w:rsidR="002932B8">
        <w:t>:</w:t>
      </w:r>
    </w:p>
    <w:p w14:paraId="67DA9BD0" w14:textId="77777777" w:rsidR="00B51519" w:rsidRDefault="00B51519" w:rsidP="00DF37F5">
      <w:pPr>
        <w:spacing w:after="0"/>
      </w:pPr>
    </w:p>
    <w:p w14:paraId="69BFE298" w14:textId="77777777" w:rsidR="00742E3A" w:rsidRDefault="00742E3A" w:rsidP="00742E3A">
      <w:pPr>
        <w:pStyle w:val="ListParagraph"/>
        <w:numPr>
          <w:ilvl w:val="1"/>
          <w:numId w:val="2"/>
        </w:numPr>
        <w:spacing w:after="0"/>
      </w:pPr>
      <w:r>
        <w:rPr>
          <w:noProof/>
        </w:rPr>
        <mc:AlternateContent>
          <mc:Choice Requires="wps">
            <w:drawing>
              <wp:anchor distT="0" distB="0" distL="114300" distR="114300" simplePos="0" relativeHeight="251661312" behindDoc="0" locked="0" layoutInCell="1" allowOverlap="1" wp14:anchorId="61117AE5" wp14:editId="76A48CD6">
                <wp:simplePos x="0" y="0"/>
                <wp:positionH relativeFrom="column">
                  <wp:posOffset>4689403</wp:posOffset>
                </wp:positionH>
                <wp:positionV relativeFrom="paragraph">
                  <wp:posOffset>24765</wp:posOffset>
                </wp:positionV>
                <wp:extent cx="241300" cy="161290"/>
                <wp:effectExtent l="0" t="0" r="25400" b="10160"/>
                <wp:wrapNone/>
                <wp:docPr id="3" name="Flowchart: Process 3"/>
                <wp:cNvGraphicFramePr/>
                <a:graphic xmlns:a="http://schemas.openxmlformats.org/drawingml/2006/main">
                  <a:graphicData uri="http://schemas.microsoft.com/office/word/2010/wordprocessingShape">
                    <wps:wsp>
                      <wps:cNvSpPr/>
                      <wps:spPr>
                        <a:xfrm>
                          <a:off x="0" y="0"/>
                          <a:ext cx="241300" cy="161290"/>
                        </a:xfrm>
                        <a:prstGeom prst="flowChart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1904B4" id="Flowchart: Process 3" o:spid="_x0000_s1026" type="#_x0000_t109" style="position:absolute;margin-left:369.25pt;margin-top:1.95pt;width:19pt;height:1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" filled="f" strokecolor="black [3213]" strokeweight="1pt"/>
            </w:pict>
          </mc:Fallback>
        </mc:AlternateContent>
      </w:r>
      <w:r>
        <w:t xml:space="preserve">Does the project significantly benefit a </w:t>
      </w:r>
      <w:r w:rsidR="000E2B88">
        <w:t>Community of Concern</w:t>
      </w:r>
      <w:r>
        <w:t xml:space="preserve">? Y/N </w:t>
      </w:r>
    </w:p>
    <w:p w14:paraId="0164BF2F" w14:textId="03082343" w:rsidR="009E420F" w:rsidRDefault="00290EE7" w:rsidP="00742E3A">
      <w:pPr>
        <w:pStyle w:val="ListParagraph"/>
        <w:numPr>
          <w:ilvl w:val="1"/>
          <w:numId w:val="2"/>
        </w:numPr>
        <w:spacing w:after="0"/>
      </w:pPr>
      <w:r>
        <w:t>If yes, d</w:t>
      </w:r>
      <w:r w:rsidR="009E420F">
        <w:t>escribe benefit to a Community of Concern</w:t>
      </w:r>
      <w:r w:rsidR="00BA4E90">
        <w:t>, including map</w:t>
      </w:r>
      <w:r w:rsidR="00996658">
        <w:t xml:space="preserve"> </w:t>
      </w:r>
      <w:r w:rsidR="00BA4E90">
        <w:t xml:space="preserve">showing proximity to COC </w:t>
      </w:r>
      <w:r w:rsidR="00996658">
        <w:t>(</w:t>
      </w:r>
      <w:r w:rsidR="00426A52">
        <w:t xml:space="preserve">below or </w:t>
      </w:r>
      <w:r w:rsidR="00996658">
        <w:t>on separate page)</w:t>
      </w:r>
      <w:r w:rsidR="009E420F">
        <w:t>.</w:t>
      </w:r>
    </w:p>
    <w:p w14:paraId="720F7FEC" w14:textId="77777777" w:rsidR="00B51519" w:rsidRDefault="00B51519" w:rsidP="00EB555E">
      <w:pPr>
        <w:spacing w:after="0"/>
      </w:pPr>
    </w:p>
    <w:p w14:paraId="58573EA3" w14:textId="77777777" w:rsidR="008627D8" w:rsidRPr="008627D8" w:rsidRDefault="00F94030" w:rsidP="008627D8">
      <w:pPr>
        <w:pStyle w:val="ListParagraph"/>
        <w:numPr>
          <w:ilvl w:val="0"/>
          <w:numId w:val="2"/>
        </w:numPr>
        <w:spacing w:after="0"/>
        <w:rPr>
          <w:b/>
        </w:rPr>
      </w:pPr>
      <w:r>
        <w:rPr>
          <w:b/>
        </w:rPr>
        <w:t xml:space="preserve">LOCAL </w:t>
      </w:r>
      <w:r w:rsidR="008627D8" w:rsidRPr="008627D8">
        <w:rPr>
          <w:b/>
        </w:rPr>
        <w:t>MATCH REQUIREMENT</w:t>
      </w:r>
    </w:p>
    <w:p w14:paraId="260AE18C" w14:textId="46CADEAB" w:rsidR="008627D8" w:rsidRDefault="00B45417" w:rsidP="008627D8">
      <w:pPr>
        <w:spacing w:after="0"/>
      </w:pPr>
      <w:r>
        <w:t>T</w:t>
      </w:r>
      <w:r w:rsidR="008627D8">
        <w:t xml:space="preserve">he </w:t>
      </w:r>
      <w:r w:rsidR="00F94030">
        <w:t xml:space="preserve">local </w:t>
      </w:r>
      <w:r w:rsidR="008627D8">
        <w:t>match requirement</w:t>
      </w:r>
      <w:r w:rsidR="00F94030">
        <w:t xml:space="preserve"> for the regional ATP is 11.47%</w:t>
      </w:r>
      <w:r>
        <w:t>, which differs from the Statewide ATP</w:t>
      </w:r>
      <w:r w:rsidR="00F94030">
        <w:t xml:space="preserve">. However, no local match is required </w:t>
      </w:r>
      <w:r w:rsidR="008627D8">
        <w:t xml:space="preserve">for projects benefiting a Community of Concern, stand-alone non-infrastructure projects, and safe routes to schools projects. As an added provision, a project sponsor may request the local match requirement be waived for the construction phase of an infrastructure project if the pre-construction phases are entirely funded using non-federal and non-ATP funds. This </w:t>
      </w:r>
      <w:r w:rsidR="008627D8">
        <w:lastRenderedPageBreak/>
        <w:t>provision minimizes the number of federalized phases requiring an E-76 through Caltrans Local assistance</w:t>
      </w:r>
      <w:r w:rsidR="00F94030">
        <w:t>.</w:t>
      </w:r>
    </w:p>
    <w:p w14:paraId="48987525" w14:textId="77777777" w:rsidR="00B51519" w:rsidRDefault="00B51519" w:rsidP="008627D8">
      <w:pPr>
        <w:spacing w:after="0"/>
      </w:pPr>
    </w:p>
    <w:p w14:paraId="416073E6" w14:textId="77777777" w:rsidR="008627D8" w:rsidRDefault="008627D8" w:rsidP="008627D8">
      <w:pPr>
        <w:pStyle w:val="ListParagraph"/>
        <w:numPr>
          <w:ilvl w:val="1"/>
          <w:numId w:val="2"/>
        </w:numPr>
        <w:spacing w:after="0"/>
      </w:pPr>
      <w:r>
        <w:rPr>
          <w:noProof/>
        </w:rPr>
        <mc:AlternateContent>
          <mc:Choice Requires="wps">
            <w:drawing>
              <wp:anchor distT="0" distB="0" distL="114300" distR="114300" simplePos="0" relativeHeight="251663360" behindDoc="0" locked="0" layoutInCell="1" allowOverlap="1" wp14:anchorId="21BBF24B" wp14:editId="424AE729">
                <wp:simplePos x="0" y="0"/>
                <wp:positionH relativeFrom="column">
                  <wp:posOffset>4930140</wp:posOffset>
                </wp:positionH>
                <wp:positionV relativeFrom="paragraph">
                  <wp:posOffset>5080</wp:posOffset>
                </wp:positionV>
                <wp:extent cx="241300" cy="161290"/>
                <wp:effectExtent l="0" t="0" r="25400" b="10160"/>
                <wp:wrapNone/>
                <wp:docPr id="4" name="Flowchart: Process 4"/>
                <wp:cNvGraphicFramePr/>
                <a:graphic xmlns:a="http://schemas.openxmlformats.org/drawingml/2006/main">
                  <a:graphicData uri="http://schemas.microsoft.com/office/word/2010/wordprocessingShape">
                    <wps:wsp>
                      <wps:cNvSpPr/>
                      <wps:spPr>
                        <a:xfrm>
                          <a:off x="0" y="0"/>
                          <a:ext cx="241300" cy="161290"/>
                        </a:xfrm>
                        <a:prstGeom prst="flowChart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26EEEB" id="Flowchart: Process 4" o:spid="_x0000_s1026" type="#_x0000_t109" style="position:absolute;margin-left:388.2pt;margin-top:.4pt;width:19pt;height:1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" filled="f" strokecolor="black [3213]" strokeweight="1pt"/>
            </w:pict>
          </mc:Fallback>
        </mc:AlternateContent>
      </w:r>
      <w:r>
        <w:t xml:space="preserve">Does the project request the 11.47% match requirement be waived? Y/N </w:t>
      </w:r>
    </w:p>
    <w:p w14:paraId="2C4B1147" w14:textId="77777777" w:rsidR="00996658" w:rsidRDefault="00996658" w:rsidP="00996658">
      <w:pPr>
        <w:spacing w:after="0"/>
        <w:ind w:left="1080"/>
      </w:pPr>
      <w:r>
        <w:t xml:space="preserve">If yes, under what category </w:t>
      </w:r>
      <w:r w:rsidR="00290EE7">
        <w:t xml:space="preserve">(1-4) </w:t>
      </w:r>
      <w:r>
        <w:t>are the match requirements waived:</w:t>
      </w:r>
      <w:r w:rsidR="00C1448D">
        <w:t xml:space="preserve"> ______</w:t>
      </w:r>
    </w:p>
    <w:p w14:paraId="56E298A6" w14:textId="77777777" w:rsidR="00996658" w:rsidRDefault="00C1448D" w:rsidP="00C1448D">
      <w:pPr>
        <w:spacing w:after="0"/>
        <w:ind w:left="1080" w:firstLine="360"/>
      </w:pPr>
      <w:r>
        <w:t>1. Project benefits a disadvantaged community/ Community of Concern</w:t>
      </w:r>
    </w:p>
    <w:p w14:paraId="4E06F990" w14:textId="77777777" w:rsidR="00C1448D" w:rsidRDefault="00C1448D" w:rsidP="00C1448D">
      <w:pPr>
        <w:spacing w:after="0"/>
        <w:ind w:left="1080" w:firstLine="360"/>
      </w:pPr>
      <w:r>
        <w:t>2. Project is a stand-alone non-infrastructure project</w:t>
      </w:r>
    </w:p>
    <w:p w14:paraId="7CA0DA4E" w14:textId="77777777" w:rsidR="00C1448D" w:rsidRDefault="00C1448D" w:rsidP="00C1448D">
      <w:pPr>
        <w:spacing w:after="0"/>
        <w:ind w:left="1080" w:firstLine="360"/>
      </w:pPr>
      <w:r>
        <w:t>3. Project is a Safe Routes to School project</w:t>
      </w:r>
    </w:p>
    <w:p w14:paraId="607EE265" w14:textId="49414238" w:rsidR="009E420F" w:rsidRDefault="00C1448D" w:rsidP="00B51519">
      <w:pPr>
        <w:spacing w:after="0"/>
        <w:ind w:left="1440"/>
      </w:pPr>
      <w:r>
        <w:t>4. Project’s pre-construction phases are funded by non-federal and non-ATP funds.</w:t>
      </w:r>
      <w:r w:rsidR="00426A52">
        <w:t xml:space="preserve"> If 4,</w:t>
      </w:r>
      <w:r w:rsidR="00B51519">
        <w:t xml:space="preserve"> </w:t>
      </w:r>
      <w:r w:rsidR="00426A52">
        <w:t>i</w:t>
      </w:r>
      <w:r>
        <w:t>ndicate which</w:t>
      </w:r>
      <w:r w:rsidR="009E420F">
        <w:t xml:space="preserve"> pre-construction phases are funded b</w:t>
      </w:r>
      <w:r>
        <w:t>y non-federal and non-ATP funds:</w:t>
      </w:r>
    </w:p>
    <w:tbl>
      <w:tblPr>
        <w:tblStyle w:val="TableGrid"/>
        <w:tblW w:w="0" w:type="auto"/>
        <w:tblInd w:w="360" w:type="dxa"/>
        <w:tblLook w:val="04A0" w:firstRow="1" w:lastRow="0" w:firstColumn="1" w:lastColumn="0" w:noHBand="0" w:noVBand="1"/>
      </w:tblPr>
      <w:tblGrid>
        <w:gridCol w:w="3613"/>
        <w:gridCol w:w="2639"/>
        <w:gridCol w:w="2738"/>
      </w:tblGrid>
      <w:tr w:rsidR="00DF0724" w:rsidRPr="00EF6E6C" w14:paraId="6BCE34B2" w14:textId="77777777" w:rsidTr="00DF0724">
        <w:tc>
          <w:tcPr>
            <w:tcW w:w="3708" w:type="dxa"/>
          </w:tcPr>
          <w:p w14:paraId="7EC02B6F" w14:textId="77777777" w:rsidR="00DF0724" w:rsidRPr="00EF6E6C" w:rsidRDefault="00DF0724" w:rsidP="008627D8">
            <w:pPr>
              <w:rPr>
                <w:b/>
              </w:rPr>
            </w:pPr>
            <w:r w:rsidRPr="00EF6E6C">
              <w:rPr>
                <w:b/>
              </w:rPr>
              <w:t>Project Phase</w:t>
            </w:r>
          </w:p>
        </w:tc>
        <w:tc>
          <w:tcPr>
            <w:tcW w:w="2700" w:type="dxa"/>
          </w:tcPr>
          <w:p w14:paraId="2D4F2CFF" w14:textId="77777777" w:rsidR="00DF0724" w:rsidRPr="00EF6E6C" w:rsidRDefault="00DF0724" w:rsidP="008627D8">
            <w:pPr>
              <w:rPr>
                <w:b/>
              </w:rPr>
            </w:pPr>
            <w:r w:rsidRPr="00EF6E6C">
              <w:rPr>
                <w:b/>
              </w:rPr>
              <w:t>Amount</w:t>
            </w:r>
          </w:p>
        </w:tc>
        <w:tc>
          <w:tcPr>
            <w:tcW w:w="2808" w:type="dxa"/>
          </w:tcPr>
          <w:p w14:paraId="517E0D39" w14:textId="77777777" w:rsidR="00DF0724" w:rsidRPr="00EF6E6C" w:rsidRDefault="009E420F" w:rsidP="008627D8">
            <w:pPr>
              <w:rPr>
                <w:b/>
              </w:rPr>
            </w:pPr>
            <w:r>
              <w:rPr>
                <w:b/>
              </w:rPr>
              <w:t xml:space="preserve">Fund </w:t>
            </w:r>
            <w:r w:rsidR="00DF0724">
              <w:rPr>
                <w:b/>
              </w:rPr>
              <w:t>Source</w:t>
            </w:r>
          </w:p>
        </w:tc>
      </w:tr>
      <w:tr w:rsidR="00DF0724" w14:paraId="176820E8" w14:textId="77777777" w:rsidTr="00DF0724">
        <w:tc>
          <w:tcPr>
            <w:tcW w:w="3708" w:type="dxa"/>
          </w:tcPr>
          <w:p w14:paraId="60C88D91" w14:textId="77777777" w:rsidR="00DF0724" w:rsidRDefault="00DF0724" w:rsidP="008627D8">
            <w:r>
              <w:t>PE Phase (includes PA&amp;ED and PS&amp;E)</w:t>
            </w:r>
          </w:p>
        </w:tc>
        <w:tc>
          <w:tcPr>
            <w:tcW w:w="2700" w:type="dxa"/>
          </w:tcPr>
          <w:p w14:paraId="08EBEC17" w14:textId="77777777" w:rsidR="00DF0724" w:rsidRDefault="00DF0724" w:rsidP="008627D8">
            <w:r>
              <w:t>$</w:t>
            </w:r>
          </w:p>
        </w:tc>
        <w:tc>
          <w:tcPr>
            <w:tcW w:w="2808" w:type="dxa"/>
          </w:tcPr>
          <w:p w14:paraId="5DCCDDDC" w14:textId="77777777" w:rsidR="00DF0724" w:rsidRDefault="00DF0724" w:rsidP="008627D8"/>
        </w:tc>
      </w:tr>
      <w:tr w:rsidR="00DF0724" w14:paraId="407B9928" w14:textId="77777777" w:rsidTr="00DF0724">
        <w:tc>
          <w:tcPr>
            <w:tcW w:w="3708" w:type="dxa"/>
          </w:tcPr>
          <w:p w14:paraId="10C331E9" w14:textId="77777777" w:rsidR="00DF0724" w:rsidRDefault="00DF0724" w:rsidP="008627D8">
            <w:r>
              <w:t>Right of Way Phase</w:t>
            </w:r>
            <w:r w:rsidR="009E420F">
              <w:t xml:space="preserve"> (includes support)</w:t>
            </w:r>
          </w:p>
        </w:tc>
        <w:tc>
          <w:tcPr>
            <w:tcW w:w="2700" w:type="dxa"/>
          </w:tcPr>
          <w:p w14:paraId="2B5E7204" w14:textId="77777777" w:rsidR="00DF0724" w:rsidRDefault="00DF0724" w:rsidP="008627D8">
            <w:r>
              <w:t>$</w:t>
            </w:r>
          </w:p>
        </w:tc>
        <w:tc>
          <w:tcPr>
            <w:tcW w:w="2808" w:type="dxa"/>
          </w:tcPr>
          <w:p w14:paraId="6148CA09" w14:textId="77777777" w:rsidR="00DF0724" w:rsidRDefault="00DF0724" w:rsidP="008627D8"/>
        </w:tc>
      </w:tr>
    </w:tbl>
    <w:p w14:paraId="60AF5DDC" w14:textId="144D671D" w:rsidR="008627D8" w:rsidRDefault="009E420F" w:rsidP="008627D8">
      <w:pPr>
        <w:spacing w:after="0"/>
        <w:ind w:left="360"/>
      </w:pPr>
      <w:r>
        <w:t xml:space="preserve">Note: specific breakdown into </w:t>
      </w:r>
      <w:r w:rsidR="00B45417">
        <w:t>four</w:t>
      </w:r>
      <w:r>
        <w:t xml:space="preserve"> phases (PA&amp;ED/environmental, PS&amp;E/final design, ROW </w:t>
      </w:r>
      <w:r w:rsidR="00AE2944">
        <w:t>(capital and support)</w:t>
      </w:r>
      <w:r>
        <w:t xml:space="preserve">, </w:t>
      </w:r>
      <w:r w:rsidR="00B45417">
        <w:t>and</w:t>
      </w:r>
      <w:r w:rsidR="00AE2944">
        <w:t xml:space="preserve"> Construction</w:t>
      </w:r>
      <w:r>
        <w:t xml:space="preserve"> </w:t>
      </w:r>
      <w:r w:rsidR="00AE2944">
        <w:t>(capital and support</w:t>
      </w:r>
      <w:r>
        <w:t>) must be detailed by year and fund source in the Project Programming Request (PPR) form (as part of the ATP application).</w:t>
      </w:r>
    </w:p>
    <w:p w14:paraId="42B0A1F4" w14:textId="77777777" w:rsidR="008627D8" w:rsidRPr="008627D8" w:rsidRDefault="008627D8" w:rsidP="008627D8">
      <w:pPr>
        <w:spacing w:after="0"/>
        <w:rPr>
          <w:i/>
        </w:rPr>
      </w:pPr>
    </w:p>
    <w:p w14:paraId="0D41F01A" w14:textId="77777777" w:rsidR="008627D8" w:rsidRDefault="00D30E7C" w:rsidP="009E420F">
      <w:pPr>
        <w:pStyle w:val="ListParagraph"/>
        <w:numPr>
          <w:ilvl w:val="0"/>
          <w:numId w:val="2"/>
        </w:numPr>
        <w:spacing w:after="0"/>
        <w:rPr>
          <w:b/>
        </w:rPr>
      </w:pPr>
      <w:r>
        <w:rPr>
          <w:b/>
        </w:rPr>
        <w:t>PROGRAMMING AND</w:t>
      </w:r>
      <w:r w:rsidR="009E420F">
        <w:rPr>
          <w:b/>
        </w:rPr>
        <w:t xml:space="preserve"> DELIVERABILITY</w:t>
      </w:r>
    </w:p>
    <w:p w14:paraId="35A4BC7C" w14:textId="2051534E" w:rsidR="009360FD" w:rsidRDefault="009360FD" w:rsidP="009E420F">
      <w:pPr>
        <w:spacing w:after="0"/>
      </w:pPr>
      <w:r>
        <w:t xml:space="preserve">The ATP is primarily a federally-funded program with limited state-only funds; therefore, </w:t>
      </w:r>
      <w:r w:rsidR="00C1448D">
        <w:t>project sponsors should expect ATP projects to be federalized</w:t>
      </w:r>
      <w:r>
        <w:t>.</w:t>
      </w:r>
      <w:r w:rsidR="00072339">
        <w:t xml:space="preserve"> State-only funding will be prioritized for projects requesting $1 million or less, or that have valid justification.</w:t>
      </w:r>
      <w:r>
        <w:t xml:space="preserve"> Additionally, all projects selected for Regional Competitive </w:t>
      </w:r>
      <w:r w:rsidR="00744877">
        <w:t xml:space="preserve">Cycle 3 </w:t>
      </w:r>
      <w:r>
        <w:t>ATP funds must comply with MTC Resolution No. 3606 Regional Delivery Deadlines and Policies</w:t>
      </w:r>
      <w:r w:rsidR="00C1448D">
        <w:t xml:space="preserve"> (</w:t>
      </w:r>
      <w:r w:rsidR="00FE0B14">
        <w:t>see</w:t>
      </w:r>
      <w:r w:rsidR="00072339">
        <w:t xml:space="preserve"> </w:t>
      </w:r>
      <w:hyperlink r:id="rId11" w:history="1">
        <w:r w:rsidR="00072339" w:rsidRPr="00515029">
          <w:rPr>
            <w:rStyle w:val="Hyperlink"/>
          </w:rPr>
          <w:t>http://mtc.ca.gov/our-work/fund-invest/federal-funding/project-delivery</w:t>
        </w:r>
      </w:hyperlink>
      <w:r w:rsidR="00C1448D">
        <w:t>).</w:t>
      </w:r>
      <w:r w:rsidR="00426A52">
        <w:t xml:space="preserve"> Note that projects deemed undeliverable within the timeframe of ATP Cycle 2 will receive a five-point penalty</w:t>
      </w:r>
      <w:r w:rsidR="00400B66">
        <w:t xml:space="preserve"> (see item </w:t>
      </w:r>
      <w:r w:rsidR="004472C4">
        <w:t>8</w:t>
      </w:r>
      <w:r w:rsidR="00400B66">
        <w:t>, “Other Evaluation Factors”)</w:t>
      </w:r>
      <w:r w:rsidR="00426A52">
        <w:t>.</w:t>
      </w:r>
    </w:p>
    <w:p w14:paraId="0BDFACE1" w14:textId="77777777" w:rsidR="009360FD" w:rsidRDefault="009360FD" w:rsidP="009E420F">
      <w:pPr>
        <w:spacing w:after="0"/>
      </w:pPr>
    </w:p>
    <w:p w14:paraId="1EF7E053" w14:textId="77777777" w:rsidR="009E420F" w:rsidRDefault="009360FD" w:rsidP="009360FD">
      <w:pPr>
        <w:pStyle w:val="ListParagraph"/>
        <w:numPr>
          <w:ilvl w:val="0"/>
          <w:numId w:val="6"/>
        </w:numPr>
        <w:spacing w:after="0"/>
      </w:pPr>
      <w:r>
        <w:t>Indicate the type of ATP funding requested.</w:t>
      </w:r>
    </w:p>
    <w:tbl>
      <w:tblPr>
        <w:tblStyle w:val="TableGrid"/>
        <w:tblW w:w="0" w:type="auto"/>
        <w:tblInd w:w="828" w:type="dxa"/>
        <w:tblLook w:val="04A0" w:firstRow="1" w:lastRow="0" w:firstColumn="1" w:lastColumn="0" w:noHBand="0" w:noVBand="1"/>
      </w:tblPr>
      <w:tblGrid>
        <w:gridCol w:w="1890"/>
        <w:gridCol w:w="360"/>
        <w:gridCol w:w="450"/>
        <w:gridCol w:w="1890"/>
        <w:gridCol w:w="360"/>
        <w:gridCol w:w="450"/>
        <w:gridCol w:w="2520"/>
        <w:gridCol w:w="360"/>
      </w:tblGrid>
      <w:tr w:rsidR="009360FD" w14:paraId="39AB0733" w14:textId="77777777" w:rsidTr="00D30E7C">
        <w:tc>
          <w:tcPr>
            <w:tcW w:w="1890" w:type="dxa"/>
          </w:tcPr>
          <w:p w14:paraId="2665868D" w14:textId="77777777" w:rsidR="009360FD" w:rsidRDefault="009360FD" w:rsidP="009E420F">
            <w:r>
              <w:t>100% Federal</w:t>
            </w:r>
          </w:p>
        </w:tc>
        <w:tc>
          <w:tcPr>
            <w:tcW w:w="360" w:type="dxa"/>
          </w:tcPr>
          <w:p w14:paraId="1FE7A41E" w14:textId="77777777" w:rsidR="009360FD" w:rsidRDefault="009360FD" w:rsidP="009E420F"/>
        </w:tc>
        <w:tc>
          <w:tcPr>
            <w:tcW w:w="450" w:type="dxa"/>
            <w:tcBorders>
              <w:top w:val="nil"/>
              <w:bottom w:val="nil"/>
            </w:tcBorders>
          </w:tcPr>
          <w:p w14:paraId="148FE506" w14:textId="77777777" w:rsidR="009360FD" w:rsidRDefault="009360FD" w:rsidP="009E420F"/>
        </w:tc>
        <w:tc>
          <w:tcPr>
            <w:tcW w:w="1890" w:type="dxa"/>
          </w:tcPr>
          <w:p w14:paraId="6F51CDA6" w14:textId="77777777" w:rsidR="009360FD" w:rsidRDefault="009360FD" w:rsidP="009E420F">
            <w:r>
              <w:t>100% State-Only</w:t>
            </w:r>
            <w:r w:rsidR="00D30E7C">
              <w:t>*</w:t>
            </w:r>
          </w:p>
        </w:tc>
        <w:tc>
          <w:tcPr>
            <w:tcW w:w="360" w:type="dxa"/>
          </w:tcPr>
          <w:p w14:paraId="304B5B88" w14:textId="77777777" w:rsidR="009360FD" w:rsidRDefault="009360FD" w:rsidP="009E420F"/>
        </w:tc>
        <w:tc>
          <w:tcPr>
            <w:tcW w:w="450" w:type="dxa"/>
            <w:tcBorders>
              <w:top w:val="nil"/>
              <w:bottom w:val="nil"/>
            </w:tcBorders>
          </w:tcPr>
          <w:p w14:paraId="56033E8E" w14:textId="77777777" w:rsidR="009360FD" w:rsidRDefault="009360FD" w:rsidP="009E420F"/>
        </w:tc>
        <w:tc>
          <w:tcPr>
            <w:tcW w:w="2520" w:type="dxa"/>
          </w:tcPr>
          <w:p w14:paraId="5583B8BB" w14:textId="77777777" w:rsidR="009360FD" w:rsidRDefault="009360FD" w:rsidP="009E420F">
            <w:r>
              <w:t>Combined Federal/State</w:t>
            </w:r>
          </w:p>
        </w:tc>
        <w:tc>
          <w:tcPr>
            <w:tcW w:w="360" w:type="dxa"/>
          </w:tcPr>
          <w:p w14:paraId="3952D465" w14:textId="77777777" w:rsidR="009360FD" w:rsidRDefault="009360FD" w:rsidP="009E420F"/>
        </w:tc>
      </w:tr>
    </w:tbl>
    <w:p w14:paraId="71400791" w14:textId="6582C5B8" w:rsidR="009360FD" w:rsidRDefault="00D30E7C" w:rsidP="009E420F">
      <w:pPr>
        <w:spacing w:after="0"/>
      </w:pPr>
      <w:r>
        <w:tab/>
        <w:t xml:space="preserve">*If unable </w:t>
      </w:r>
      <w:r w:rsidR="00072339">
        <w:t xml:space="preserve">or requesting not </w:t>
      </w:r>
      <w:r>
        <w:t>to use federal funds, explain why</w:t>
      </w:r>
      <w:r w:rsidR="00C1448D">
        <w:t xml:space="preserve"> (on separate page)</w:t>
      </w:r>
      <w:r>
        <w:t>.</w:t>
      </w:r>
    </w:p>
    <w:p w14:paraId="406F2FED" w14:textId="77777777" w:rsidR="00D30E7C" w:rsidRDefault="00D30E7C" w:rsidP="009E420F">
      <w:pPr>
        <w:spacing w:after="0"/>
      </w:pPr>
    </w:p>
    <w:p w14:paraId="048E6075" w14:textId="77777777" w:rsidR="009360FD" w:rsidRDefault="00D30E7C" w:rsidP="009360FD">
      <w:pPr>
        <w:pStyle w:val="ListParagraph"/>
        <w:numPr>
          <w:ilvl w:val="0"/>
          <w:numId w:val="6"/>
        </w:numPr>
        <w:spacing w:after="0"/>
      </w:pPr>
      <w:r>
        <w:t>Can the project meet the prescribed obligation deadlines below?</w:t>
      </w:r>
    </w:p>
    <w:p w14:paraId="6517154F" w14:textId="5F716E1D" w:rsidR="00D30E7C" w:rsidRDefault="00C1448D" w:rsidP="00C1448D">
      <w:pPr>
        <w:spacing w:after="0"/>
        <w:ind w:left="360" w:firstLine="360"/>
      </w:pPr>
      <w:r>
        <w:rPr>
          <w:noProof/>
        </w:rPr>
        <mc:AlternateContent>
          <mc:Choice Requires="wps">
            <w:drawing>
              <wp:anchor distT="0" distB="0" distL="114300" distR="114300" simplePos="0" relativeHeight="251665408" behindDoc="0" locked="0" layoutInCell="1" allowOverlap="1" wp14:anchorId="4E92E769" wp14:editId="74C486FA">
                <wp:simplePos x="0" y="0"/>
                <wp:positionH relativeFrom="column">
                  <wp:posOffset>4335780</wp:posOffset>
                </wp:positionH>
                <wp:positionV relativeFrom="paragraph">
                  <wp:posOffset>21590</wp:posOffset>
                </wp:positionV>
                <wp:extent cx="241300" cy="161290"/>
                <wp:effectExtent l="0" t="0" r="25400" b="10160"/>
                <wp:wrapNone/>
                <wp:docPr id="1" name="Flowchart: Process 1"/>
                <wp:cNvGraphicFramePr/>
                <a:graphic xmlns:a="http://schemas.openxmlformats.org/drawingml/2006/main">
                  <a:graphicData uri="http://schemas.microsoft.com/office/word/2010/wordprocessingShape">
                    <wps:wsp>
                      <wps:cNvSpPr/>
                      <wps:spPr>
                        <a:xfrm>
                          <a:off x="0" y="0"/>
                          <a:ext cx="241300" cy="161290"/>
                        </a:xfrm>
                        <a:prstGeom prst="flowChart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BCA7CF" id="Flowchart: Process 1" o:spid="_x0000_s1026" type="#_x0000_t109" style="position:absolute;margin-left:341.4pt;margin-top:1.7pt;width:19pt;height:1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" filled="f" strokecolor="black [3213]" strokeweight="1pt"/>
            </w:pict>
          </mc:Fallback>
        </mc:AlternateContent>
      </w:r>
      <w:r w:rsidR="00B45417">
        <w:t>Funds programmed in FY 201</w:t>
      </w:r>
      <w:r w:rsidR="004472C4">
        <w:t>9</w:t>
      </w:r>
      <w:r w:rsidR="00B45417">
        <w:t>-</w:t>
      </w:r>
      <w:r w:rsidR="004472C4">
        <w:t>20</w:t>
      </w:r>
      <w:r w:rsidR="00D30E7C">
        <w:t>: Obligation</w:t>
      </w:r>
      <w:r>
        <w:t>*</w:t>
      </w:r>
      <w:r w:rsidR="00B45417">
        <w:t xml:space="preserve"> by 1/31/20</w:t>
      </w:r>
      <w:r w:rsidR="004472C4">
        <w:t>20</w:t>
      </w:r>
      <w:r>
        <w:t>.   Y/N</w:t>
      </w:r>
    </w:p>
    <w:p w14:paraId="4199695E" w14:textId="4EB4E443" w:rsidR="00D30E7C" w:rsidRDefault="00C1448D" w:rsidP="00C1448D">
      <w:pPr>
        <w:spacing w:after="0"/>
        <w:ind w:left="360" w:firstLine="360"/>
      </w:pPr>
      <w:r>
        <w:rPr>
          <w:noProof/>
        </w:rPr>
        <mc:AlternateContent>
          <mc:Choice Requires="wps">
            <w:drawing>
              <wp:anchor distT="0" distB="0" distL="114300" distR="114300" simplePos="0" relativeHeight="251671552" behindDoc="0" locked="0" layoutInCell="1" allowOverlap="1" wp14:anchorId="327B0AE0" wp14:editId="355CF623">
                <wp:simplePos x="0" y="0"/>
                <wp:positionH relativeFrom="column">
                  <wp:posOffset>4339791</wp:posOffset>
                </wp:positionH>
                <wp:positionV relativeFrom="paragraph">
                  <wp:posOffset>12466</wp:posOffset>
                </wp:positionV>
                <wp:extent cx="241300" cy="161290"/>
                <wp:effectExtent l="0" t="0" r="25400" b="10160"/>
                <wp:wrapNone/>
                <wp:docPr id="6" name="Flowchart: Process 6"/>
                <wp:cNvGraphicFramePr/>
                <a:graphic xmlns:a="http://schemas.openxmlformats.org/drawingml/2006/main">
                  <a:graphicData uri="http://schemas.microsoft.com/office/word/2010/wordprocessingShape">
                    <wps:wsp>
                      <wps:cNvSpPr/>
                      <wps:spPr>
                        <a:xfrm>
                          <a:off x="0" y="0"/>
                          <a:ext cx="241300" cy="161290"/>
                        </a:xfrm>
                        <a:prstGeom prst="flowChart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7082EF" id="Flowchart: Process 6" o:spid="_x0000_s1026" type="#_x0000_t109" style="position:absolute;margin-left:341.7pt;margin-top:1pt;width:19pt;height:1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" filled="f" strokecolor="black [3213]" strokeweight="1pt"/>
            </w:pict>
          </mc:Fallback>
        </mc:AlternateContent>
      </w:r>
      <w:r w:rsidR="004472C4">
        <w:t>Funds programmed in FY 2020-21</w:t>
      </w:r>
      <w:r w:rsidR="00D30E7C">
        <w:t>: Obligation</w:t>
      </w:r>
      <w:r>
        <w:t>*</w:t>
      </w:r>
      <w:r w:rsidR="00B45417">
        <w:t xml:space="preserve"> by 1/31/20</w:t>
      </w:r>
      <w:r w:rsidR="004472C4">
        <w:t>21</w:t>
      </w:r>
      <w:r>
        <w:t>.   Y/N</w:t>
      </w:r>
    </w:p>
    <w:p w14:paraId="356C03AE" w14:textId="77777777" w:rsidR="00290EE7" w:rsidRDefault="00290EE7" w:rsidP="00290EE7">
      <w:pPr>
        <w:spacing w:after="0"/>
        <w:ind w:left="360"/>
      </w:pPr>
      <w:r>
        <w:t xml:space="preserve">* </w:t>
      </w:r>
      <w:r w:rsidR="00C1448D">
        <w:t xml:space="preserve">Obligation </w:t>
      </w:r>
      <w:r>
        <w:t>is the federal authorization to proceed/E-76 approval</w:t>
      </w:r>
      <w:r w:rsidRPr="00290EE7">
        <w:t xml:space="preserve"> </w:t>
      </w:r>
    </w:p>
    <w:p w14:paraId="0BD5FD76" w14:textId="77777777" w:rsidR="00290EE7" w:rsidRDefault="00290EE7" w:rsidP="00290EE7">
      <w:pPr>
        <w:spacing w:after="0"/>
        <w:ind w:left="360"/>
      </w:pPr>
    </w:p>
    <w:p w14:paraId="2B6943C7" w14:textId="77777777" w:rsidR="00290EE7" w:rsidRDefault="00F94030" w:rsidP="00290EE7">
      <w:pPr>
        <w:spacing w:after="0"/>
        <w:rPr>
          <w:b/>
          <w:u w:val="single"/>
        </w:rPr>
      </w:pPr>
      <w:r>
        <w:rPr>
          <w:b/>
          <w:u w:val="single"/>
        </w:rPr>
        <w:t>REGIONAL EVALUATION</w:t>
      </w:r>
      <w:r w:rsidR="00290EE7">
        <w:rPr>
          <w:b/>
          <w:u w:val="single"/>
        </w:rPr>
        <w:t xml:space="preserve"> CRITERIA</w:t>
      </w:r>
      <w:r>
        <w:rPr>
          <w:b/>
          <w:u w:val="single"/>
        </w:rPr>
        <w:t xml:space="preserve"> (to be scored in addition to State Criteria)</w:t>
      </w:r>
    </w:p>
    <w:p w14:paraId="73BEA28F" w14:textId="3EE7DD6B" w:rsidR="00B51519" w:rsidRPr="00EB555E" w:rsidRDefault="00B51519" w:rsidP="00B51519">
      <w:pPr>
        <w:pStyle w:val="ListParagraph"/>
        <w:numPr>
          <w:ilvl w:val="0"/>
          <w:numId w:val="2"/>
        </w:numPr>
        <w:spacing w:after="0"/>
        <w:rPr>
          <w:b/>
        </w:rPr>
      </w:pPr>
      <w:r w:rsidRPr="00EB555E">
        <w:rPr>
          <w:b/>
        </w:rPr>
        <w:t>COMMUNITY-BASED TRANSPORTATION PLANS (CBTPs)</w:t>
      </w:r>
      <w:r>
        <w:rPr>
          <w:b/>
        </w:rPr>
        <w:t xml:space="preserve"> </w:t>
      </w:r>
      <w:r w:rsidRPr="00DE2140">
        <w:t xml:space="preserve">(0 to </w:t>
      </w:r>
      <w:r>
        <w:t>10</w:t>
      </w:r>
      <w:r w:rsidRPr="00DE2140">
        <w:t xml:space="preserve"> points)</w:t>
      </w:r>
    </w:p>
    <w:p w14:paraId="736F430E" w14:textId="77777777" w:rsidR="00B51519" w:rsidRDefault="00B51519" w:rsidP="00B51519">
      <w:pPr>
        <w:spacing w:after="0"/>
      </w:pPr>
      <w:r>
        <w:t>MTC has elected to change the statewide application’s scoring point value for Disadvantaged</w:t>
      </w:r>
    </w:p>
    <w:p w14:paraId="0E6C5AB6" w14:textId="77777777" w:rsidR="00B51519" w:rsidRDefault="00B51519" w:rsidP="00B51519">
      <w:pPr>
        <w:spacing w:after="0"/>
      </w:pPr>
      <w:r>
        <w:t>Communities, assigning the value to 60% of the statewide scoring value. The remaining 40% of the statewide scoring value will be awarded for projects identified in an approved Community-Based</w:t>
      </w:r>
    </w:p>
    <w:p w14:paraId="6DE0BDDF" w14:textId="77777777" w:rsidR="00B51519" w:rsidRDefault="00B51519" w:rsidP="00B51519">
      <w:pPr>
        <w:spacing w:after="0"/>
      </w:pPr>
      <w:r>
        <w:t xml:space="preserve">Transportation Plan (CBTP). Refer to page 6 of the Regional Competitive Cycle 3 ATP Guidelines, Attachment A for more information (see </w:t>
      </w:r>
      <w:hyperlink r:id="rId12" w:history="1">
        <w:r w:rsidRPr="00AA1BF9">
          <w:rPr>
            <w:rStyle w:val="Hyperlink"/>
          </w:rPr>
          <w:t>http://mtc.ca.gov/our-work/invest-protect/investment-</w:t>
        </w:r>
        <w:r w:rsidRPr="00AA1BF9">
          <w:rPr>
            <w:rStyle w:val="Hyperlink"/>
          </w:rPr>
          <w:lastRenderedPageBreak/>
          <w:t>strategies-commitments/protect-our-climate/active-transportation</w:t>
        </w:r>
      </w:hyperlink>
      <w:r>
        <w:t xml:space="preserve">). </w:t>
      </w:r>
      <w:r w:rsidRPr="00FE0B14">
        <w:t>More than 30 lower-income communities in all nine Bay Area counties have developed CBTPs</w:t>
      </w:r>
      <w:r>
        <w:t xml:space="preserve"> (see </w:t>
      </w:r>
      <w:hyperlink r:id="rId13" w:history="1">
        <w:r w:rsidRPr="00AA1BF9">
          <w:rPr>
            <w:rStyle w:val="Hyperlink"/>
          </w:rPr>
          <w:t>http://mtc.ca.gov/our-work/plans-projects/other-plans/community-based-transportation-plans</w:t>
        </w:r>
      </w:hyperlink>
      <w:r>
        <w:t>). To get CBTP points, the project must still be located in or benefit a Community of Concern under the current definition as of January 2016.</w:t>
      </w:r>
    </w:p>
    <w:p w14:paraId="61E11855" w14:textId="77777777" w:rsidR="00B51519" w:rsidRDefault="00B51519" w:rsidP="00B51519">
      <w:pPr>
        <w:spacing w:after="0"/>
      </w:pPr>
    </w:p>
    <w:p w14:paraId="136F6CB1" w14:textId="77777777" w:rsidR="00B51519" w:rsidRDefault="00B51519" w:rsidP="00B51519">
      <w:pPr>
        <w:spacing w:after="0"/>
      </w:pPr>
      <w:r>
        <w:t>CBTP consistency:</w:t>
      </w:r>
    </w:p>
    <w:p w14:paraId="34A986C9" w14:textId="77777777" w:rsidR="00B51519" w:rsidRDefault="00B51519" w:rsidP="00B51519">
      <w:pPr>
        <w:pStyle w:val="ListParagraph"/>
        <w:numPr>
          <w:ilvl w:val="1"/>
          <w:numId w:val="2"/>
        </w:numPr>
        <w:spacing w:after="0"/>
      </w:pPr>
      <w:r>
        <w:rPr>
          <w:noProof/>
        </w:rPr>
        <mc:AlternateContent>
          <mc:Choice Requires="wps">
            <w:drawing>
              <wp:anchor distT="0" distB="0" distL="114300" distR="114300" simplePos="0" relativeHeight="251679744" behindDoc="0" locked="0" layoutInCell="1" allowOverlap="1" wp14:anchorId="55BED64D" wp14:editId="15301E85">
                <wp:simplePos x="0" y="0"/>
                <wp:positionH relativeFrom="column">
                  <wp:posOffset>3641090</wp:posOffset>
                </wp:positionH>
                <wp:positionV relativeFrom="paragraph">
                  <wp:posOffset>5715</wp:posOffset>
                </wp:positionV>
                <wp:extent cx="241300" cy="161290"/>
                <wp:effectExtent l="0" t="0" r="25400" b="10160"/>
                <wp:wrapNone/>
                <wp:docPr id="11" name="Flowchart: Process 11"/>
                <wp:cNvGraphicFramePr/>
                <a:graphic xmlns:a="http://schemas.openxmlformats.org/drawingml/2006/main">
                  <a:graphicData uri="http://schemas.microsoft.com/office/word/2010/wordprocessingShape">
                    <wps:wsp>
                      <wps:cNvSpPr/>
                      <wps:spPr>
                        <a:xfrm>
                          <a:off x="0" y="0"/>
                          <a:ext cx="241300" cy="161290"/>
                        </a:xfrm>
                        <a:prstGeom prst="flowChart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FC3A13" id="_x0000_t109" coordsize="21600,21600" o:spt="109" path="m,l,21600r21600,l21600,xe">
                <v:stroke joinstyle="miter"/>
                <v:path gradientshapeok="t" o:connecttype="rect"/>
              </v:shapetype>
              <v:shape id="Flowchart: Process 11" o:spid="_x0000_s1026" type="#_x0000_t109" style="position:absolute;margin-left:286.7pt;margin-top:.45pt;width:19pt;height:1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" filled="f" strokecolor="black [3213]" strokeweight="1pt"/>
            </w:pict>
          </mc:Fallback>
        </mc:AlternateContent>
      </w:r>
      <w:r>
        <w:rPr>
          <w:noProof/>
        </w:rPr>
        <w:t>Is</w:t>
      </w:r>
      <w:r>
        <w:t xml:space="preserve"> the project identified in a completed CBTP? Y/N </w:t>
      </w:r>
    </w:p>
    <w:p w14:paraId="66A4A79B" w14:textId="77777777" w:rsidR="00B51519" w:rsidRDefault="00B51519" w:rsidP="00B51519">
      <w:pPr>
        <w:pStyle w:val="ListParagraph"/>
        <w:numPr>
          <w:ilvl w:val="1"/>
          <w:numId w:val="2"/>
        </w:numPr>
        <w:spacing w:after="0"/>
      </w:pPr>
      <w:r>
        <w:t>If yes, include a map showing proximity to CBTP study area (on separate page).</w:t>
      </w:r>
    </w:p>
    <w:p w14:paraId="63BD6453" w14:textId="77777777" w:rsidR="00B51519" w:rsidRPr="00290EE7" w:rsidRDefault="00B51519" w:rsidP="00290EE7">
      <w:pPr>
        <w:spacing w:after="0"/>
        <w:rPr>
          <w:b/>
          <w:u w:val="single"/>
        </w:rPr>
      </w:pPr>
    </w:p>
    <w:p w14:paraId="0059EDB5" w14:textId="4D4409F0" w:rsidR="00290EE7" w:rsidRPr="009E420F" w:rsidRDefault="00290EE7" w:rsidP="00290EE7">
      <w:pPr>
        <w:pStyle w:val="ListParagraph"/>
        <w:numPr>
          <w:ilvl w:val="0"/>
          <w:numId w:val="2"/>
        </w:numPr>
        <w:spacing w:after="0"/>
        <w:rPr>
          <w:b/>
        </w:rPr>
      </w:pPr>
      <w:r w:rsidRPr="009E420F">
        <w:rPr>
          <w:b/>
        </w:rPr>
        <w:t xml:space="preserve">CONSISTENCY WITH REGIONAL PRIORITIES AND PLANNING EFFORTS </w:t>
      </w:r>
      <w:r w:rsidRPr="00DE2140">
        <w:t xml:space="preserve">(0 to </w:t>
      </w:r>
      <w:r w:rsidR="00B45417">
        <w:t>5</w:t>
      </w:r>
      <w:r w:rsidRPr="00DE2140">
        <w:t xml:space="preserve"> points)</w:t>
      </w:r>
    </w:p>
    <w:p w14:paraId="1500E603" w14:textId="3315D315" w:rsidR="00290EE7" w:rsidRDefault="00290EE7" w:rsidP="00290EE7">
      <w:pPr>
        <w:spacing w:after="0"/>
      </w:pPr>
      <w:r w:rsidRPr="00DE2140">
        <w:t>Applicants shall describe the project’s consistency wit</w:t>
      </w:r>
      <w:r>
        <w:t xml:space="preserve">h previously-approved regional </w:t>
      </w:r>
      <w:r w:rsidRPr="00DE2140">
        <w:t>priorities, and how the project meets Plan Bay A</w:t>
      </w:r>
      <w:r>
        <w:t xml:space="preserve">rea’s objective to meet SB 375 </w:t>
      </w:r>
      <w:r w:rsidRPr="00DE2140">
        <w:t xml:space="preserve">commitments. Points will be awarded for the degree of the </w:t>
      </w:r>
      <w:r>
        <w:t xml:space="preserve">proposed project’s consistency </w:t>
      </w:r>
      <w:r w:rsidRPr="00DE2140">
        <w:t>with regional priorities</w:t>
      </w:r>
      <w:r w:rsidR="004472C4">
        <w:t>. Refer to page 8</w:t>
      </w:r>
      <w:r>
        <w:t xml:space="preserve"> of the Regional Competitive </w:t>
      </w:r>
      <w:r w:rsidR="00072339">
        <w:t xml:space="preserve">Cycle 3 </w:t>
      </w:r>
      <w:r>
        <w:t xml:space="preserve">ATP Guidelines, Attachment A, for examples (see </w:t>
      </w:r>
      <w:hyperlink r:id="rId14" w:history="1">
        <w:r w:rsidR="00B718C3" w:rsidRPr="00AA1BF9">
          <w:rPr>
            <w:rStyle w:val="Hyperlink"/>
          </w:rPr>
          <w:t>http://mtc.ca.gov/our-work/invest-protect/investment-strategies-commitments/protect-our-climate/active-transportation</w:t>
        </w:r>
      </w:hyperlink>
      <w:r>
        <w:t>).</w:t>
      </w:r>
    </w:p>
    <w:p w14:paraId="5E84CFD7" w14:textId="77777777" w:rsidR="00290EE7" w:rsidRPr="00DE2140" w:rsidRDefault="00290EE7" w:rsidP="00290EE7">
      <w:pPr>
        <w:spacing w:after="0"/>
      </w:pPr>
    </w:p>
    <w:p w14:paraId="28264FA4" w14:textId="77777777" w:rsidR="00290EE7" w:rsidRDefault="00290EE7" w:rsidP="00290EE7">
      <w:pPr>
        <w:pStyle w:val="ListParagraph"/>
        <w:numPr>
          <w:ilvl w:val="1"/>
          <w:numId w:val="2"/>
        </w:numPr>
        <w:spacing w:after="0"/>
      </w:pPr>
      <w:r>
        <w:t>Describe how the project is consistent with regional priorities or helps the region to achieve regional priorities (on separate page).</w:t>
      </w:r>
    </w:p>
    <w:p w14:paraId="60CA1F24" w14:textId="77777777" w:rsidR="00290EE7" w:rsidRDefault="00290EE7" w:rsidP="00290EE7">
      <w:pPr>
        <w:spacing w:after="0"/>
        <w:ind w:left="360"/>
      </w:pPr>
    </w:p>
    <w:p w14:paraId="45199CBE" w14:textId="77777777" w:rsidR="00290EE7" w:rsidRDefault="00290EE7" w:rsidP="00290EE7">
      <w:pPr>
        <w:spacing w:after="0"/>
      </w:pPr>
      <w:r>
        <w:t>Projects will be evaluated on the following:</w:t>
      </w:r>
    </w:p>
    <w:p w14:paraId="029EF7C0" w14:textId="3DA5CE0B" w:rsidR="00290EE7" w:rsidRPr="008627D8" w:rsidRDefault="00290EE7" w:rsidP="00290EE7">
      <w:pPr>
        <w:pStyle w:val="ListParagraph"/>
        <w:numPr>
          <w:ilvl w:val="0"/>
          <w:numId w:val="4"/>
        </w:numPr>
        <w:spacing w:after="0"/>
        <w:rPr>
          <w:i/>
        </w:rPr>
      </w:pPr>
      <w:r w:rsidRPr="008627D8">
        <w:rPr>
          <w:i/>
        </w:rPr>
        <w:t>Projects that substant</w:t>
      </w:r>
      <w:r w:rsidR="00400B66">
        <w:rPr>
          <w:i/>
        </w:rPr>
        <w:t>ially meet regional priorities:</w:t>
      </w:r>
      <w:r w:rsidRPr="008627D8">
        <w:rPr>
          <w:i/>
        </w:rPr>
        <w:t xml:space="preserve"> </w:t>
      </w:r>
      <w:r w:rsidR="00B45417">
        <w:rPr>
          <w:i/>
        </w:rPr>
        <w:t>5</w:t>
      </w:r>
      <w:r w:rsidRPr="008627D8">
        <w:rPr>
          <w:i/>
        </w:rPr>
        <w:t xml:space="preserve"> points</w:t>
      </w:r>
    </w:p>
    <w:p w14:paraId="2793223F" w14:textId="15E0C353" w:rsidR="00290EE7" w:rsidRPr="008627D8" w:rsidRDefault="00290EE7" w:rsidP="00290EE7">
      <w:pPr>
        <w:pStyle w:val="ListParagraph"/>
        <w:numPr>
          <w:ilvl w:val="0"/>
          <w:numId w:val="4"/>
        </w:numPr>
        <w:spacing w:after="0"/>
        <w:rPr>
          <w:i/>
        </w:rPr>
      </w:pPr>
      <w:r w:rsidRPr="008627D8">
        <w:rPr>
          <w:i/>
        </w:rPr>
        <w:t>Projects that moder</w:t>
      </w:r>
      <w:r w:rsidR="00400B66">
        <w:rPr>
          <w:i/>
        </w:rPr>
        <w:t>ately meet regional priorities:</w:t>
      </w:r>
      <w:r w:rsidRPr="008627D8">
        <w:rPr>
          <w:i/>
        </w:rPr>
        <w:t xml:space="preserve"> </w:t>
      </w:r>
      <w:r w:rsidR="00B45417">
        <w:rPr>
          <w:i/>
        </w:rPr>
        <w:t>3-4</w:t>
      </w:r>
      <w:r w:rsidRPr="008627D8">
        <w:rPr>
          <w:i/>
        </w:rPr>
        <w:t xml:space="preserve"> points</w:t>
      </w:r>
    </w:p>
    <w:p w14:paraId="529585C8" w14:textId="4CB73851" w:rsidR="00290EE7" w:rsidRPr="008627D8" w:rsidRDefault="00290EE7" w:rsidP="00290EE7">
      <w:pPr>
        <w:pStyle w:val="ListParagraph"/>
        <w:numPr>
          <w:ilvl w:val="0"/>
          <w:numId w:val="4"/>
        </w:numPr>
        <w:spacing w:after="0"/>
        <w:rPr>
          <w:i/>
        </w:rPr>
      </w:pPr>
      <w:r w:rsidRPr="008627D8">
        <w:rPr>
          <w:i/>
        </w:rPr>
        <w:t>Projects that minimally meet regional pri</w:t>
      </w:r>
      <w:r w:rsidR="00400B66">
        <w:rPr>
          <w:i/>
        </w:rPr>
        <w:t>orities:</w:t>
      </w:r>
      <w:r w:rsidRPr="008627D8">
        <w:rPr>
          <w:i/>
        </w:rPr>
        <w:t xml:space="preserve"> </w:t>
      </w:r>
      <w:r w:rsidR="00B45417">
        <w:rPr>
          <w:i/>
        </w:rPr>
        <w:t>1-2</w:t>
      </w:r>
      <w:r w:rsidRPr="008627D8">
        <w:rPr>
          <w:i/>
        </w:rPr>
        <w:t xml:space="preserve"> points</w:t>
      </w:r>
    </w:p>
    <w:p w14:paraId="4D3A31A8" w14:textId="74361D7B" w:rsidR="00290EE7" w:rsidRDefault="00290EE7" w:rsidP="00290EE7">
      <w:pPr>
        <w:pStyle w:val="ListParagraph"/>
        <w:numPr>
          <w:ilvl w:val="0"/>
          <w:numId w:val="4"/>
        </w:numPr>
        <w:spacing w:after="0"/>
        <w:rPr>
          <w:i/>
        </w:rPr>
      </w:pPr>
      <w:r w:rsidRPr="008627D8">
        <w:rPr>
          <w:i/>
        </w:rPr>
        <w:t xml:space="preserve">Projects that </w:t>
      </w:r>
      <w:r>
        <w:rPr>
          <w:i/>
        </w:rPr>
        <w:t xml:space="preserve">do </w:t>
      </w:r>
      <w:r w:rsidR="00400B66">
        <w:rPr>
          <w:i/>
        </w:rPr>
        <w:t>not meet regional priorities:</w:t>
      </w:r>
      <w:r w:rsidRPr="008627D8">
        <w:rPr>
          <w:i/>
        </w:rPr>
        <w:t xml:space="preserve"> 0 points</w:t>
      </w:r>
    </w:p>
    <w:p w14:paraId="21228048" w14:textId="77777777" w:rsidR="00B45417" w:rsidRDefault="00B45417" w:rsidP="00B45417">
      <w:pPr>
        <w:spacing w:after="0"/>
        <w:rPr>
          <w:i/>
        </w:rPr>
      </w:pPr>
    </w:p>
    <w:p w14:paraId="22CE2B59" w14:textId="2FFA4AF3" w:rsidR="00B45417" w:rsidRPr="009E420F" w:rsidRDefault="00B45417" w:rsidP="00B45417">
      <w:pPr>
        <w:pStyle w:val="ListParagraph"/>
        <w:numPr>
          <w:ilvl w:val="0"/>
          <w:numId w:val="2"/>
        </w:numPr>
        <w:spacing w:after="0"/>
        <w:rPr>
          <w:b/>
        </w:rPr>
      </w:pPr>
      <w:r w:rsidRPr="009E420F">
        <w:rPr>
          <w:b/>
        </w:rPr>
        <w:t>CO</w:t>
      </w:r>
      <w:r>
        <w:rPr>
          <w:b/>
        </w:rPr>
        <w:t>MPLETION OF APPROVED ENVIRONMENTAL DOCUMENT</w:t>
      </w:r>
      <w:r w:rsidRPr="009E420F">
        <w:rPr>
          <w:b/>
        </w:rPr>
        <w:t xml:space="preserve"> </w:t>
      </w:r>
      <w:r>
        <w:t>(0 or 3</w:t>
      </w:r>
      <w:r w:rsidRPr="00DE2140">
        <w:t xml:space="preserve"> points)</w:t>
      </w:r>
    </w:p>
    <w:p w14:paraId="5A61B6F8" w14:textId="3156913B" w:rsidR="00B45417" w:rsidRDefault="00B45417" w:rsidP="00B45417">
      <w:pPr>
        <w:spacing w:after="0"/>
      </w:pPr>
      <w:r>
        <w:t>Applications that provide evidence of an approved environmental document consistent with the California Environmental Quality Act (CEQA) and National Environmental Policy Act (NEPA) will receive additional points. If requesting state-only funding, only CEQA documentat</w:t>
      </w:r>
      <w:r w:rsidR="004472C4">
        <w:t>ion is required. Refer to page 8</w:t>
      </w:r>
      <w:r>
        <w:t xml:space="preserve"> of the Regional Competitive</w:t>
      </w:r>
      <w:r w:rsidR="00E7374E">
        <w:t xml:space="preserve"> Cycle 3 </w:t>
      </w:r>
      <w:r>
        <w:t>ATP Guidelines, Attachment A, for acceptable forms of evidence (see</w:t>
      </w:r>
      <w:r w:rsidR="00A86497">
        <w:t xml:space="preserve"> </w:t>
      </w:r>
      <w:hyperlink r:id="rId15" w:history="1">
        <w:r w:rsidR="00A86497" w:rsidRPr="00AA1BF9">
          <w:rPr>
            <w:rStyle w:val="Hyperlink"/>
          </w:rPr>
          <w:t>http://mtc.ca.gov/our-work/invest-protect/investment-strategies-commitments/protect-our-climate/active-transportation</w:t>
        </w:r>
      </w:hyperlink>
      <w:r>
        <w:t>).</w:t>
      </w:r>
    </w:p>
    <w:p w14:paraId="71B5266D" w14:textId="200871CF" w:rsidR="00B45417" w:rsidRPr="00DE2140" w:rsidRDefault="00E21040" w:rsidP="00B45417">
      <w:pPr>
        <w:spacing w:after="0"/>
      </w:pPr>
      <w:r>
        <w:rPr>
          <w:noProof/>
        </w:rPr>
        <mc:AlternateContent>
          <mc:Choice Requires="wps">
            <w:drawing>
              <wp:anchor distT="0" distB="0" distL="114300" distR="114300" simplePos="0" relativeHeight="251675648" behindDoc="0" locked="0" layoutInCell="1" allowOverlap="1" wp14:anchorId="637B8C24" wp14:editId="7F02C778">
                <wp:simplePos x="0" y="0"/>
                <wp:positionH relativeFrom="column">
                  <wp:posOffset>5269865</wp:posOffset>
                </wp:positionH>
                <wp:positionV relativeFrom="paragraph">
                  <wp:posOffset>194310</wp:posOffset>
                </wp:positionV>
                <wp:extent cx="241300" cy="161290"/>
                <wp:effectExtent l="0" t="0" r="38100" b="16510"/>
                <wp:wrapNone/>
                <wp:docPr id="8" name="Flowchart: Process 6"/>
                <wp:cNvGraphicFramePr/>
                <a:graphic xmlns:a="http://schemas.openxmlformats.org/drawingml/2006/main">
                  <a:graphicData uri="http://schemas.microsoft.com/office/word/2010/wordprocessingShape">
                    <wps:wsp>
                      <wps:cNvSpPr/>
                      <wps:spPr>
                        <a:xfrm>
                          <a:off x="0" y="0"/>
                          <a:ext cx="241300" cy="161290"/>
                        </a:xfrm>
                        <a:prstGeom prst="flowChart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9ED05E" id="Flowchart: Process 6" o:spid="_x0000_s1026" type="#_x0000_t109" style="position:absolute;margin-left:414.95pt;margin-top:15.3pt;width:19pt;height:1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" filled="f" strokecolor="black [3213]" strokeweight="1pt"/>
            </w:pict>
          </mc:Fallback>
        </mc:AlternateContent>
      </w:r>
    </w:p>
    <w:p w14:paraId="0977E782" w14:textId="2EE15093" w:rsidR="00E21040" w:rsidRDefault="00E21040" w:rsidP="00B45417">
      <w:pPr>
        <w:pStyle w:val="ListParagraph"/>
        <w:numPr>
          <w:ilvl w:val="1"/>
          <w:numId w:val="2"/>
        </w:numPr>
        <w:spacing w:after="0"/>
      </w:pPr>
      <w:r>
        <w:t>Is the project a stand-alone non-infrastructure project or planning project? Y/N</w:t>
      </w:r>
    </w:p>
    <w:p w14:paraId="28AB4C6B" w14:textId="109719D6" w:rsidR="00E21040" w:rsidRDefault="00E21040" w:rsidP="00E21040">
      <w:pPr>
        <w:pStyle w:val="ListParagraph"/>
        <w:numPr>
          <w:ilvl w:val="2"/>
          <w:numId w:val="2"/>
        </w:numPr>
        <w:spacing w:after="0"/>
      </w:pPr>
      <w:r>
        <w:rPr>
          <w:noProof/>
        </w:rPr>
        <mc:AlternateContent>
          <mc:Choice Requires="wps">
            <w:drawing>
              <wp:anchor distT="0" distB="0" distL="114300" distR="114300" simplePos="0" relativeHeight="251677696" behindDoc="0" locked="0" layoutInCell="1" allowOverlap="1" wp14:anchorId="01D5C53A" wp14:editId="79C99895">
                <wp:simplePos x="0" y="0"/>
                <wp:positionH relativeFrom="column">
                  <wp:posOffset>3192145</wp:posOffset>
                </wp:positionH>
                <wp:positionV relativeFrom="paragraph">
                  <wp:posOffset>186055</wp:posOffset>
                </wp:positionV>
                <wp:extent cx="241300" cy="161290"/>
                <wp:effectExtent l="0" t="0" r="38100" b="16510"/>
                <wp:wrapNone/>
                <wp:docPr id="9" name="Flowchart: Process 6"/>
                <wp:cNvGraphicFramePr/>
                <a:graphic xmlns:a="http://schemas.openxmlformats.org/drawingml/2006/main">
                  <a:graphicData uri="http://schemas.microsoft.com/office/word/2010/wordprocessingShape">
                    <wps:wsp>
                      <wps:cNvSpPr/>
                      <wps:spPr>
                        <a:xfrm>
                          <a:off x="0" y="0"/>
                          <a:ext cx="241300" cy="161290"/>
                        </a:xfrm>
                        <a:prstGeom prst="flowChart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D91A12" id="Flowchart: Process 6" o:spid="_x0000_s1026" type="#_x0000_t109" style="position:absolute;margin-left:251.35pt;margin-top:14.65pt;width:19pt;height:1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" filled="f" strokecolor="black [3213]" strokeweight="1pt"/>
            </w:pict>
          </mc:Fallback>
        </mc:AlternateContent>
      </w:r>
      <w:r>
        <w:t>If yes, skip to question 6; full points will be awarded.</w:t>
      </w:r>
    </w:p>
    <w:p w14:paraId="61D57D5E" w14:textId="39E21221" w:rsidR="00B45417" w:rsidRDefault="00B45417" w:rsidP="00B45417">
      <w:pPr>
        <w:pStyle w:val="ListParagraph"/>
        <w:numPr>
          <w:ilvl w:val="1"/>
          <w:numId w:val="2"/>
        </w:numPr>
        <w:spacing w:after="0"/>
      </w:pPr>
      <w:r>
        <w:t>Is the project environmentally cleared? Y/N</w:t>
      </w:r>
    </w:p>
    <w:p w14:paraId="7CF097B6" w14:textId="366383D9" w:rsidR="00B45417" w:rsidRDefault="00B45417" w:rsidP="00B45417">
      <w:pPr>
        <w:pStyle w:val="ListParagraph"/>
        <w:numPr>
          <w:ilvl w:val="1"/>
          <w:numId w:val="2"/>
        </w:numPr>
        <w:spacing w:after="0"/>
      </w:pPr>
      <w:r>
        <w:t xml:space="preserve">If yes, provide </w:t>
      </w:r>
      <w:r w:rsidR="00E21040">
        <w:t xml:space="preserve">evidence and fill out </w:t>
      </w:r>
      <w:r>
        <w:t>documentation type (CE, ND, EIR, EIS, etc.) and approval/adoption date</w:t>
      </w:r>
      <w:r w:rsidR="00E21040">
        <w:t xml:space="preserve"> in the table below</w:t>
      </w:r>
      <w:r>
        <w:t>.</w:t>
      </w:r>
      <w:r w:rsidR="00BD3A5E">
        <w:br/>
      </w:r>
      <w:r w:rsidR="00BD3A5E">
        <w:br/>
      </w:r>
    </w:p>
    <w:tbl>
      <w:tblPr>
        <w:tblStyle w:val="TableGrid"/>
        <w:tblW w:w="0" w:type="auto"/>
        <w:tblLook w:val="04A0" w:firstRow="1" w:lastRow="0" w:firstColumn="1" w:lastColumn="0" w:noHBand="0" w:noVBand="1"/>
      </w:tblPr>
      <w:tblGrid>
        <w:gridCol w:w="3111"/>
        <w:gridCol w:w="3131"/>
        <w:gridCol w:w="3108"/>
      </w:tblGrid>
      <w:tr w:rsidR="00B45417" w14:paraId="51F98AA0" w14:textId="77777777" w:rsidTr="00B45417">
        <w:tc>
          <w:tcPr>
            <w:tcW w:w="3192" w:type="dxa"/>
          </w:tcPr>
          <w:p w14:paraId="6A434689" w14:textId="389C436F" w:rsidR="00B45417" w:rsidRDefault="00B45417" w:rsidP="00B45417"/>
        </w:tc>
        <w:tc>
          <w:tcPr>
            <w:tcW w:w="3192" w:type="dxa"/>
          </w:tcPr>
          <w:p w14:paraId="31F5D647" w14:textId="5DD3BA5C" w:rsidR="00B45417" w:rsidRPr="00E21040" w:rsidRDefault="00B45417" w:rsidP="00B45417">
            <w:pPr>
              <w:rPr>
                <w:b/>
              </w:rPr>
            </w:pPr>
            <w:r w:rsidRPr="00E21040">
              <w:rPr>
                <w:b/>
              </w:rPr>
              <w:t>Documentation Type</w:t>
            </w:r>
          </w:p>
        </w:tc>
        <w:tc>
          <w:tcPr>
            <w:tcW w:w="3192" w:type="dxa"/>
          </w:tcPr>
          <w:p w14:paraId="3F2A39D6" w14:textId="1EA14EBD" w:rsidR="00B45417" w:rsidRPr="00E21040" w:rsidRDefault="00B45417" w:rsidP="00B45417">
            <w:pPr>
              <w:rPr>
                <w:b/>
              </w:rPr>
            </w:pPr>
            <w:r w:rsidRPr="00E21040">
              <w:rPr>
                <w:b/>
              </w:rPr>
              <w:t>Approval Date</w:t>
            </w:r>
          </w:p>
        </w:tc>
      </w:tr>
      <w:tr w:rsidR="00B45417" w14:paraId="3BC5DC4D" w14:textId="77777777" w:rsidTr="00B45417">
        <w:tc>
          <w:tcPr>
            <w:tcW w:w="3192" w:type="dxa"/>
          </w:tcPr>
          <w:p w14:paraId="6D480BB1" w14:textId="330CDEB2" w:rsidR="00B45417" w:rsidRDefault="00B45417" w:rsidP="00B45417">
            <w:r>
              <w:t>State CEQA Document</w:t>
            </w:r>
          </w:p>
        </w:tc>
        <w:tc>
          <w:tcPr>
            <w:tcW w:w="3192" w:type="dxa"/>
          </w:tcPr>
          <w:p w14:paraId="7FF570E5" w14:textId="77777777" w:rsidR="00B45417" w:rsidRDefault="00B45417" w:rsidP="00B45417"/>
        </w:tc>
        <w:tc>
          <w:tcPr>
            <w:tcW w:w="3192" w:type="dxa"/>
          </w:tcPr>
          <w:p w14:paraId="05F8FB1B" w14:textId="77777777" w:rsidR="00B45417" w:rsidRDefault="00B45417" w:rsidP="00B45417"/>
        </w:tc>
      </w:tr>
      <w:tr w:rsidR="00B45417" w14:paraId="29EAE2D5" w14:textId="77777777" w:rsidTr="00B45417">
        <w:tc>
          <w:tcPr>
            <w:tcW w:w="3192" w:type="dxa"/>
          </w:tcPr>
          <w:p w14:paraId="5DDCC8DB" w14:textId="0A97429D" w:rsidR="00B45417" w:rsidRDefault="00B45417" w:rsidP="00B45417">
            <w:r>
              <w:t>Federal NEPA Document</w:t>
            </w:r>
          </w:p>
        </w:tc>
        <w:tc>
          <w:tcPr>
            <w:tcW w:w="3192" w:type="dxa"/>
          </w:tcPr>
          <w:p w14:paraId="7A125438" w14:textId="77777777" w:rsidR="00B45417" w:rsidRDefault="00B45417" w:rsidP="00B45417"/>
        </w:tc>
        <w:tc>
          <w:tcPr>
            <w:tcW w:w="3192" w:type="dxa"/>
          </w:tcPr>
          <w:p w14:paraId="2C35E04E" w14:textId="77777777" w:rsidR="00B45417" w:rsidRDefault="00B45417" w:rsidP="00B45417"/>
        </w:tc>
      </w:tr>
    </w:tbl>
    <w:p w14:paraId="4D9017BC" w14:textId="2BD4EEDA" w:rsidR="00B45417" w:rsidRDefault="00B45417" w:rsidP="00B45417">
      <w:pPr>
        <w:spacing w:after="0"/>
      </w:pPr>
    </w:p>
    <w:p w14:paraId="6DA17E15" w14:textId="1D9A4620" w:rsidR="00E21040" w:rsidRPr="009E420F" w:rsidRDefault="00E21040" w:rsidP="00E21040">
      <w:pPr>
        <w:pStyle w:val="ListParagraph"/>
        <w:numPr>
          <w:ilvl w:val="0"/>
          <w:numId w:val="2"/>
        </w:numPr>
        <w:spacing w:after="0"/>
        <w:rPr>
          <w:b/>
        </w:rPr>
      </w:pPr>
      <w:r>
        <w:rPr>
          <w:b/>
        </w:rPr>
        <w:t>CONSISTENCY WITH OBAG</w:t>
      </w:r>
      <w:r w:rsidR="004472C4">
        <w:rPr>
          <w:b/>
        </w:rPr>
        <w:t xml:space="preserve"> 2</w:t>
      </w:r>
      <w:r>
        <w:rPr>
          <w:b/>
        </w:rPr>
        <w:t xml:space="preserve"> COMPLETE STREETS POLICY</w:t>
      </w:r>
      <w:r w:rsidRPr="009E420F">
        <w:rPr>
          <w:b/>
        </w:rPr>
        <w:t xml:space="preserve"> </w:t>
      </w:r>
      <w:r>
        <w:t>(0 or 2</w:t>
      </w:r>
      <w:r w:rsidRPr="00DE2140">
        <w:t xml:space="preserve"> points)</w:t>
      </w:r>
    </w:p>
    <w:p w14:paraId="676ED414" w14:textId="0C1C6C79" w:rsidR="00E21040" w:rsidRDefault="00B07A3E" w:rsidP="00E7374E">
      <w:pPr>
        <w:spacing w:after="0"/>
      </w:pPr>
      <w:r>
        <w:t xml:space="preserve">Additional points will be awarded for projects located in </w:t>
      </w:r>
      <w:r w:rsidR="00273185">
        <w:t xml:space="preserve">jurisdictions </w:t>
      </w:r>
      <w:r>
        <w:t xml:space="preserve">that </w:t>
      </w:r>
      <w:r w:rsidR="00E21040">
        <w:t xml:space="preserve">meet the One Bay Area Grant (OBAG) </w:t>
      </w:r>
      <w:r w:rsidR="004472C4">
        <w:t xml:space="preserve">2 </w:t>
      </w:r>
      <w:r w:rsidR="00E21040">
        <w:t>Complete Stre</w:t>
      </w:r>
      <w:r w:rsidR="00A86497">
        <w:t xml:space="preserve">ets Policy by </w:t>
      </w:r>
      <w:r w:rsidR="001E5E65">
        <w:t>June</w:t>
      </w:r>
      <w:r w:rsidR="00A86497">
        <w:t xml:space="preserve"> </w:t>
      </w:r>
      <w:r w:rsidR="001E5E65">
        <w:t>15</w:t>
      </w:r>
      <w:r w:rsidR="00A86497">
        <w:t>, 2016</w:t>
      </w:r>
      <w:r w:rsidR="00E21040">
        <w:t>.</w:t>
      </w:r>
      <w:r w:rsidR="00E7374E">
        <w:t xml:space="preserve"> For further information regarding MTC’s OBAG 2 Complete Streets Policy</w:t>
      </w:r>
      <w:r>
        <w:t xml:space="preserve"> and compliance status by jurisdiction</w:t>
      </w:r>
      <w:r w:rsidR="00E7374E">
        <w:t xml:space="preserve">, refer to the OBAG 2 website at: </w:t>
      </w:r>
      <w:hyperlink r:id="rId16" w:history="1">
        <w:r w:rsidR="00273185" w:rsidRPr="00515029">
          <w:rPr>
            <w:rStyle w:val="Hyperlink"/>
          </w:rPr>
          <w:t>http://mtc.ca.gov/our-work/fund-invest/federal-funding/obag-2</w:t>
        </w:r>
      </w:hyperlink>
      <w:r w:rsidR="00273185">
        <w:t xml:space="preserve">. </w:t>
      </w:r>
    </w:p>
    <w:p w14:paraId="21CAE533" w14:textId="42A462F6" w:rsidR="00E21040" w:rsidRPr="00DE2140" w:rsidRDefault="00E21040" w:rsidP="00E21040">
      <w:pPr>
        <w:spacing w:after="0"/>
      </w:pPr>
    </w:p>
    <w:p w14:paraId="7FC79882" w14:textId="6D35B8F7" w:rsidR="00E21040" w:rsidRDefault="00C273FE" w:rsidP="008D224D">
      <w:pPr>
        <w:pStyle w:val="ListParagraph"/>
        <w:numPr>
          <w:ilvl w:val="1"/>
          <w:numId w:val="2"/>
        </w:numPr>
        <w:spacing w:after="0"/>
      </w:pPr>
      <w:r>
        <w:t>Do</w:t>
      </w:r>
      <w:r w:rsidR="00B07A3E">
        <w:t xml:space="preserve"> all </w:t>
      </w:r>
      <w:r>
        <w:t>jurisdiction</w:t>
      </w:r>
      <w:r w:rsidR="00B07A3E">
        <w:t>s</w:t>
      </w:r>
      <w:r>
        <w:t xml:space="preserve"> in which the project is located meet the OBAG</w:t>
      </w:r>
      <w:r w:rsidR="004472C4">
        <w:t xml:space="preserve"> 2</w:t>
      </w:r>
      <w:r>
        <w:t xml:space="preserve"> Complete Streets Policy (or w</w:t>
      </w:r>
      <w:r w:rsidR="008D224D">
        <w:t>ill they</w:t>
      </w:r>
      <w:r w:rsidR="00B07A3E">
        <w:t xml:space="preserve"> by 6</w:t>
      </w:r>
      <w:r w:rsidR="00A86497">
        <w:t>/</w:t>
      </w:r>
      <w:r w:rsidR="00B07A3E">
        <w:t>15</w:t>
      </w:r>
      <w:r w:rsidR="00A86497">
        <w:t>/16</w:t>
      </w:r>
      <w:r>
        <w:t>)</w:t>
      </w:r>
      <w:r w:rsidR="00E21040">
        <w:t xml:space="preserve">? </w:t>
      </w:r>
      <w:r w:rsidR="008D224D" w:rsidRPr="008D224D">
        <w:t>Please indicate in the table below</w:t>
      </w:r>
      <w:r w:rsidR="008D224D">
        <w:t>:</w:t>
      </w:r>
    </w:p>
    <w:tbl>
      <w:tblPr>
        <w:tblStyle w:val="TableGrid"/>
        <w:tblW w:w="9355" w:type="dxa"/>
        <w:tblLook w:val="04A0" w:firstRow="1" w:lastRow="0" w:firstColumn="1" w:lastColumn="0" w:noHBand="0" w:noVBand="1"/>
      </w:tblPr>
      <w:tblGrid>
        <w:gridCol w:w="4677"/>
        <w:gridCol w:w="4678"/>
      </w:tblGrid>
      <w:tr w:rsidR="00B07A3E" w14:paraId="4F1128A6" w14:textId="77777777" w:rsidTr="008D224D">
        <w:tc>
          <w:tcPr>
            <w:tcW w:w="4677" w:type="dxa"/>
          </w:tcPr>
          <w:p w14:paraId="6048F25D" w14:textId="60513840" w:rsidR="00B07A3E" w:rsidRDefault="00B07A3E" w:rsidP="00C273FE">
            <w:r>
              <w:t>Jurisdiction</w:t>
            </w:r>
          </w:p>
        </w:tc>
        <w:tc>
          <w:tcPr>
            <w:tcW w:w="4678" w:type="dxa"/>
          </w:tcPr>
          <w:p w14:paraId="6986C348" w14:textId="49E1D30A" w:rsidR="00B07A3E" w:rsidRDefault="00B07A3E" w:rsidP="00B07A3E">
            <w:r w:rsidRPr="00B07A3E">
              <w:t>Meets OBAG 2 Complete Streets Policy (Y/N)</w:t>
            </w:r>
            <w:r>
              <w:t>?</w:t>
            </w:r>
          </w:p>
        </w:tc>
      </w:tr>
      <w:tr w:rsidR="00B07A3E" w14:paraId="281329FD" w14:textId="77777777" w:rsidTr="008D224D">
        <w:tc>
          <w:tcPr>
            <w:tcW w:w="4677" w:type="dxa"/>
          </w:tcPr>
          <w:p w14:paraId="7C067978" w14:textId="77777777" w:rsidR="00B07A3E" w:rsidRDefault="00B07A3E" w:rsidP="00C273FE"/>
        </w:tc>
        <w:tc>
          <w:tcPr>
            <w:tcW w:w="4678" w:type="dxa"/>
          </w:tcPr>
          <w:p w14:paraId="1F6EDB98" w14:textId="77777777" w:rsidR="00B07A3E" w:rsidRDefault="00B07A3E" w:rsidP="00C273FE"/>
        </w:tc>
      </w:tr>
      <w:tr w:rsidR="00B07A3E" w14:paraId="0AB9C34F" w14:textId="77777777" w:rsidTr="008D224D">
        <w:tc>
          <w:tcPr>
            <w:tcW w:w="4677" w:type="dxa"/>
          </w:tcPr>
          <w:p w14:paraId="01F297DE" w14:textId="77777777" w:rsidR="00B07A3E" w:rsidRDefault="00B07A3E" w:rsidP="00C273FE"/>
        </w:tc>
        <w:tc>
          <w:tcPr>
            <w:tcW w:w="4678" w:type="dxa"/>
          </w:tcPr>
          <w:p w14:paraId="52B8DFF0" w14:textId="77777777" w:rsidR="00B07A3E" w:rsidRDefault="00B07A3E" w:rsidP="00C273FE"/>
        </w:tc>
      </w:tr>
      <w:tr w:rsidR="00B07A3E" w14:paraId="51B65FFD" w14:textId="77777777" w:rsidTr="008D224D">
        <w:tc>
          <w:tcPr>
            <w:tcW w:w="4677" w:type="dxa"/>
          </w:tcPr>
          <w:p w14:paraId="44C84710" w14:textId="77777777" w:rsidR="00B07A3E" w:rsidRDefault="00B07A3E" w:rsidP="00C273FE"/>
        </w:tc>
        <w:tc>
          <w:tcPr>
            <w:tcW w:w="4678" w:type="dxa"/>
          </w:tcPr>
          <w:p w14:paraId="525B1D28" w14:textId="77777777" w:rsidR="00B07A3E" w:rsidRDefault="00B07A3E" w:rsidP="00C273FE"/>
        </w:tc>
      </w:tr>
    </w:tbl>
    <w:p w14:paraId="59F3746C" w14:textId="77777777" w:rsidR="00C273FE" w:rsidRDefault="00C273FE" w:rsidP="00C273FE">
      <w:pPr>
        <w:spacing w:after="0"/>
      </w:pPr>
    </w:p>
    <w:p w14:paraId="3F47338B" w14:textId="67F412F5" w:rsidR="00426A52" w:rsidRPr="009E420F" w:rsidRDefault="00426A52" w:rsidP="00426A52">
      <w:pPr>
        <w:pStyle w:val="ListParagraph"/>
        <w:numPr>
          <w:ilvl w:val="0"/>
          <w:numId w:val="2"/>
        </w:numPr>
        <w:spacing w:after="0"/>
        <w:rPr>
          <w:b/>
        </w:rPr>
      </w:pPr>
      <w:r>
        <w:rPr>
          <w:b/>
        </w:rPr>
        <w:t>OTHER EVALUATION FACTORS</w:t>
      </w:r>
      <w:r w:rsidR="00AE2944">
        <w:rPr>
          <w:b/>
        </w:rPr>
        <w:t xml:space="preserve"> </w:t>
      </w:r>
      <w:r w:rsidR="00AE2944">
        <w:t>(0 or -2 or -5 points)</w:t>
      </w:r>
    </w:p>
    <w:p w14:paraId="3392D3A5" w14:textId="52488F32" w:rsidR="00B45417" w:rsidRPr="00B45417" w:rsidRDefault="00426A52" w:rsidP="00426A52">
      <w:pPr>
        <w:spacing w:after="0"/>
      </w:pPr>
      <w:r>
        <w:t xml:space="preserve">Note that </w:t>
      </w:r>
      <w:r w:rsidR="00B8515A">
        <w:t xml:space="preserve">the Congestion Management Agencies will determine consistency of the project with adopted countywide transportation plans, goals, or other plans. Projects deemed inconsistent with these plans and/or goals will receive a two-point penalty. Additionally, projects that the evaluation committee deems undeliverable within the timeframe of ATP Cycle </w:t>
      </w:r>
      <w:r w:rsidR="00BD3A5E">
        <w:t>3</w:t>
      </w:r>
      <w:r w:rsidR="00B8515A">
        <w:t xml:space="preserve"> will receive a five-point penalty.</w:t>
      </w:r>
      <w:r w:rsidR="00D96012">
        <w:t xml:space="preserve"> Refer to page </w:t>
      </w:r>
      <w:r w:rsidR="004472C4">
        <w:t>9</w:t>
      </w:r>
      <w:r w:rsidR="00D96012">
        <w:t xml:space="preserve"> of the Regional Competitive</w:t>
      </w:r>
      <w:r w:rsidR="00BD3A5E" w:rsidRPr="00BD3A5E">
        <w:t xml:space="preserve"> </w:t>
      </w:r>
      <w:r w:rsidR="00BD3A5E">
        <w:t>Cycle 3</w:t>
      </w:r>
      <w:r w:rsidR="00D96012">
        <w:t xml:space="preserve"> ATP Guidelines, Attachment A, for additional information regarding t</w:t>
      </w:r>
      <w:r w:rsidR="00A86497">
        <w:t xml:space="preserve">hese other evaluation factors (see </w:t>
      </w:r>
      <w:hyperlink r:id="rId17" w:history="1">
        <w:r w:rsidR="00A86497" w:rsidRPr="00AA1BF9">
          <w:rPr>
            <w:rStyle w:val="Hyperlink"/>
          </w:rPr>
          <w:t>http://mtc.ca.gov/our-work/invest-protect/investment-strategies-commitments/protect-our-climate/active-transportation</w:t>
        </w:r>
      </w:hyperlink>
      <w:r w:rsidR="00D96012">
        <w:t>).</w:t>
      </w:r>
    </w:p>
    <w:sectPr w:rsidR="00B45417" w:rsidRPr="00B45417" w:rsidSect="00AE2944">
      <w:headerReference w:type="default" r:id="rId18"/>
      <w:footerReference w:type="default" r:id="rId19"/>
      <w:headerReference w:type="first" r:id="rId20"/>
      <w:footerReference w:type="firs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F064FF" w14:textId="77777777" w:rsidR="00A87F28" w:rsidRDefault="00A87F28" w:rsidP="00C1448D">
      <w:pPr>
        <w:spacing w:after="0" w:line="240" w:lineRule="auto"/>
      </w:pPr>
      <w:r>
        <w:separator/>
      </w:r>
    </w:p>
  </w:endnote>
  <w:endnote w:type="continuationSeparator" w:id="0">
    <w:p w14:paraId="20A913ED" w14:textId="77777777" w:rsidR="00A87F28" w:rsidRDefault="00A87F28" w:rsidP="00C14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shd w:val="clear" w:color="auto" w:fill="8DB3E2" w:themeFill="text2" w:themeFillTint="66"/>
      <w:tblLook w:val="04A0" w:firstRow="1" w:lastRow="0" w:firstColumn="1" w:lastColumn="0" w:noHBand="0" w:noVBand="1"/>
    </w:tblPr>
    <w:tblGrid>
      <w:gridCol w:w="9350"/>
    </w:tblGrid>
    <w:tr w:rsidR="006F1D7D" w14:paraId="4AC20867" w14:textId="77777777" w:rsidTr="006F1D7D">
      <w:tc>
        <w:tcPr>
          <w:tcW w:w="9576" w:type="dxa"/>
          <w:shd w:val="clear" w:color="auto" w:fill="8DB3E2" w:themeFill="text2" w:themeFillTint="66"/>
        </w:tcPr>
        <w:p w14:paraId="6D3FFC61" w14:textId="2F015DCC" w:rsidR="006F1D7D" w:rsidRDefault="006F1D7D" w:rsidP="006F1D7D">
          <w:pPr>
            <w:pStyle w:val="Footer"/>
          </w:pPr>
          <w:r>
            <w:t>Metropolitan Transportation Commission</w:t>
          </w:r>
          <w:r>
            <w:tab/>
          </w:r>
          <w:r>
            <w:tab/>
            <w:t xml:space="preserve">Page </w:t>
          </w:r>
          <w:r>
            <w:rPr>
              <w:b/>
              <w:bCs/>
            </w:rPr>
            <w:fldChar w:fldCharType="begin"/>
          </w:r>
          <w:r>
            <w:rPr>
              <w:b/>
              <w:bCs/>
            </w:rPr>
            <w:instrText xml:space="preserve"> PAGE  \* Arabic  \* MERGEFORMAT </w:instrText>
          </w:r>
          <w:r>
            <w:rPr>
              <w:b/>
              <w:bCs/>
            </w:rPr>
            <w:fldChar w:fldCharType="separate"/>
          </w:r>
          <w:r w:rsidR="004965EA">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4965EA">
            <w:rPr>
              <w:b/>
              <w:bCs/>
              <w:noProof/>
            </w:rPr>
            <w:t>4</w:t>
          </w:r>
          <w:r>
            <w:rPr>
              <w:b/>
              <w:bCs/>
            </w:rPr>
            <w:fldChar w:fldCharType="end"/>
          </w:r>
        </w:p>
      </w:tc>
    </w:tr>
  </w:tbl>
  <w:p w14:paraId="10C9384E" w14:textId="77777777" w:rsidR="006F1D7D" w:rsidRPr="00B718C3" w:rsidRDefault="006F1D7D" w:rsidP="00B718C3">
    <w:pPr>
      <w:spacing w:after="0"/>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shd w:val="clear" w:color="auto" w:fill="8DB3E2" w:themeFill="text2" w:themeFillTint="66"/>
      <w:tblLook w:val="04A0" w:firstRow="1" w:lastRow="0" w:firstColumn="1" w:lastColumn="0" w:noHBand="0" w:noVBand="1"/>
    </w:tblPr>
    <w:tblGrid>
      <w:gridCol w:w="9350"/>
    </w:tblGrid>
    <w:tr w:rsidR="00AE2944" w14:paraId="3E4BF232" w14:textId="77777777" w:rsidTr="004C4386">
      <w:tc>
        <w:tcPr>
          <w:tcW w:w="9576" w:type="dxa"/>
          <w:shd w:val="clear" w:color="auto" w:fill="8DB3E2" w:themeFill="text2" w:themeFillTint="66"/>
          <w:vAlign w:val="center"/>
        </w:tcPr>
        <w:p w14:paraId="3A0A758A" w14:textId="3E80755D" w:rsidR="00AE2944" w:rsidRDefault="00AE2944" w:rsidP="006F1D7D">
          <w:pPr>
            <w:pStyle w:val="Footer"/>
          </w:pPr>
          <w:r>
            <w:t>Metropolitan Transportation Commission</w:t>
          </w:r>
          <w:r w:rsidR="006F1D7D">
            <w:tab/>
          </w:r>
          <w:r w:rsidR="006F1D7D">
            <w:tab/>
            <w:t xml:space="preserve">Page </w:t>
          </w:r>
          <w:r w:rsidR="006F1D7D">
            <w:rPr>
              <w:b/>
              <w:bCs/>
            </w:rPr>
            <w:fldChar w:fldCharType="begin"/>
          </w:r>
          <w:r w:rsidR="006F1D7D">
            <w:rPr>
              <w:b/>
              <w:bCs/>
            </w:rPr>
            <w:instrText xml:space="preserve"> PAGE  \* Arabic  \* MERGEFORMAT </w:instrText>
          </w:r>
          <w:r w:rsidR="006F1D7D">
            <w:rPr>
              <w:b/>
              <w:bCs/>
            </w:rPr>
            <w:fldChar w:fldCharType="separate"/>
          </w:r>
          <w:r w:rsidR="004965EA">
            <w:rPr>
              <w:b/>
              <w:bCs/>
              <w:noProof/>
            </w:rPr>
            <w:t>1</w:t>
          </w:r>
          <w:r w:rsidR="006F1D7D">
            <w:rPr>
              <w:b/>
              <w:bCs/>
            </w:rPr>
            <w:fldChar w:fldCharType="end"/>
          </w:r>
          <w:r w:rsidR="006F1D7D">
            <w:t xml:space="preserve"> of </w:t>
          </w:r>
          <w:r w:rsidR="006F1D7D">
            <w:rPr>
              <w:b/>
              <w:bCs/>
            </w:rPr>
            <w:fldChar w:fldCharType="begin"/>
          </w:r>
          <w:r w:rsidR="006F1D7D">
            <w:rPr>
              <w:b/>
              <w:bCs/>
            </w:rPr>
            <w:instrText xml:space="preserve"> NUMPAGES  \* Arabic  \* MERGEFORMAT </w:instrText>
          </w:r>
          <w:r w:rsidR="006F1D7D">
            <w:rPr>
              <w:b/>
              <w:bCs/>
            </w:rPr>
            <w:fldChar w:fldCharType="separate"/>
          </w:r>
          <w:r w:rsidR="004965EA">
            <w:rPr>
              <w:b/>
              <w:bCs/>
              <w:noProof/>
            </w:rPr>
            <w:t>4</w:t>
          </w:r>
          <w:r w:rsidR="006F1D7D">
            <w:rPr>
              <w:b/>
              <w:bCs/>
            </w:rPr>
            <w:fldChar w:fldCharType="end"/>
          </w:r>
        </w:p>
      </w:tc>
    </w:tr>
  </w:tbl>
  <w:p w14:paraId="27284376" w14:textId="254A5A89" w:rsidR="00426A52" w:rsidRPr="00B718C3" w:rsidRDefault="00426A52" w:rsidP="00B718C3">
    <w:pPr>
      <w:pStyle w:val="Footer"/>
      <w:rPr>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E97B26" w14:textId="77777777" w:rsidR="00A87F28" w:rsidRDefault="00A87F28" w:rsidP="00C1448D">
      <w:pPr>
        <w:spacing w:after="0" w:line="240" w:lineRule="auto"/>
      </w:pPr>
      <w:r>
        <w:separator/>
      </w:r>
    </w:p>
  </w:footnote>
  <w:footnote w:type="continuationSeparator" w:id="0">
    <w:p w14:paraId="5A6D7D9D" w14:textId="77777777" w:rsidR="00A87F28" w:rsidRDefault="00A87F28" w:rsidP="00C144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shd w:val="clear" w:color="auto" w:fill="8DB3E2" w:themeFill="text2" w:themeFillTint="66"/>
      <w:tblLook w:val="04A0" w:firstRow="1" w:lastRow="0" w:firstColumn="1" w:lastColumn="0" w:noHBand="0" w:noVBand="1"/>
    </w:tblPr>
    <w:tblGrid>
      <w:gridCol w:w="9350"/>
    </w:tblGrid>
    <w:tr w:rsidR="006F1D7D" w14:paraId="3C08F6E6" w14:textId="77777777" w:rsidTr="006F1D7D">
      <w:tc>
        <w:tcPr>
          <w:tcW w:w="9576" w:type="dxa"/>
          <w:shd w:val="clear" w:color="auto" w:fill="8DB3E2" w:themeFill="text2" w:themeFillTint="66"/>
        </w:tcPr>
        <w:p w14:paraId="387D5A96" w14:textId="568A20CE" w:rsidR="006F1D7D" w:rsidRDefault="006F1D7D" w:rsidP="00D81294">
          <w:pPr>
            <w:pStyle w:val="Header"/>
            <w:rPr>
              <w:b/>
              <w:sz w:val="28"/>
              <w:szCs w:val="28"/>
            </w:rPr>
          </w:pPr>
          <w:r w:rsidRPr="006F1D7D">
            <w:rPr>
              <w:b/>
              <w:sz w:val="28"/>
              <w:szCs w:val="28"/>
            </w:rPr>
            <w:t xml:space="preserve">Cycle </w:t>
          </w:r>
          <w:r w:rsidR="00D81294">
            <w:rPr>
              <w:b/>
              <w:sz w:val="28"/>
              <w:szCs w:val="28"/>
            </w:rPr>
            <w:t>3</w:t>
          </w:r>
          <w:r w:rsidRPr="006F1D7D">
            <w:rPr>
              <w:b/>
              <w:sz w:val="28"/>
              <w:szCs w:val="28"/>
            </w:rPr>
            <w:t xml:space="preserve"> Regional ATP Supplemental Application</w:t>
          </w:r>
          <w:r w:rsidRPr="006F1D7D">
            <w:rPr>
              <w:b/>
              <w:sz w:val="28"/>
              <w:szCs w:val="28"/>
            </w:rPr>
            <w:tab/>
            <w:t>Due Date: June 1</w:t>
          </w:r>
          <w:r w:rsidR="00072339">
            <w:rPr>
              <w:b/>
              <w:sz w:val="28"/>
              <w:szCs w:val="28"/>
            </w:rPr>
            <w:t>5, 2016</w:t>
          </w:r>
        </w:p>
      </w:tc>
    </w:tr>
  </w:tbl>
  <w:p w14:paraId="3EF49731" w14:textId="77777777" w:rsidR="006F1D7D" w:rsidRPr="006F1D7D" w:rsidRDefault="006F1D7D" w:rsidP="006F1D7D">
    <w:pP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350"/>
    </w:tblGrid>
    <w:tr w:rsidR="00AE2944" w:rsidRPr="00AE2944" w14:paraId="13DC1DB3" w14:textId="77777777" w:rsidTr="004C4386">
      <w:tc>
        <w:tcPr>
          <w:tcW w:w="9576" w:type="dxa"/>
          <w:shd w:val="clear" w:color="auto" w:fill="8DB3E2" w:themeFill="text2" w:themeFillTint="66"/>
          <w:vAlign w:val="center"/>
        </w:tcPr>
        <w:p w14:paraId="3435ED44" w14:textId="404549B5" w:rsidR="00AE2944" w:rsidRPr="00AE2944" w:rsidRDefault="00AE2944" w:rsidP="008D0154">
          <w:pPr>
            <w:pStyle w:val="Header"/>
            <w:rPr>
              <w:b/>
              <w:sz w:val="32"/>
              <w:szCs w:val="32"/>
            </w:rPr>
          </w:pPr>
          <w:r w:rsidRPr="006F1D7D">
            <w:rPr>
              <w:b/>
              <w:sz w:val="28"/>
              <w:szCs w:val="28"/>
            </w:rPr>
            <w:t xml:space="preserve">Cycle </w:t>
          </w:r>
          <w:r w:rsidR="008D0154">
            <w:rPr>
              <w:b/>
              <w:sz w:val="28"/>
              <w:szCs w:val="28"/>
            </w:rPr>
            <w:t>3</w:t>
          </w:r>
          <w:r w:rsidRPr="006F1D7D">
            <w:rPr>
              <w:b/>
              <w:sz w:val="28"/>
              <w:szCs w:val="28"/>
            </w:rPr>
            <w:t xml:space="preserve"> Regional ATP </w:t>
          </w:r>
          <w:r w:rsidR="006F1D7D" w:rsidRPr="006F1D7D">
            <w:rPr>
              <w:b/>
              <w:sz w:val="28"/>
              <w:szCs w:val="28"/>
            </w:rPr>
            <w:t xml:space="preserve">Supplemental </w:t>
          </w:r>
          <w:r w:rsidRPr="006F1D7D">
            <w:rPr>
              <w:b/>
              <w:sz w:val="28"/>
              <w:szCs w:val="28"/>
            </w:rPr>
            <w:t>Application</w:t>
          </w:r>
          <w:r w:rsidR="006F1D7D">
            <w:rPr>
              <w:b/>
              <w:sz w:val="32"/>
              <w:szCs w:val="32"/>
            </w:rPr>
            <w:tab/>
          </w:r>
          <w:r w:rsidR="006F1D7D" w:rsidRPr="006F1D7D">
            <w:rPr>
              <w:b/>
              <w:sz w:val="28"/>
              <w:szCs w:val="28"/>
            </w:rPr>
            <w:t>Due Date: June 1</w:t>
          </w:r>
          <w:r w:rsidR="008D0154">
            <w:rPr>
              <w:b/>
              <w:sz w:val="28"/>
              <w:szCs w:val="28"/>
            </w:rPr>
            <w:t>5, 2016</w:t>
          </w:r>
        </w:p>
      </w:tc>
    </w:tr>
  </w:tbl>
  <w:p w14:paraId="677A8691" w14:textId="77777777" w:rsidR="00AE2944" w:rsidRDefault="00AE29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5419D3"/>
    <w:multiLevelType w:val="hybridMultilevel"/>
    <w:tmpl w:val="FFFC055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F496AB3"/>
    <w:multiLevelType w:val="hybridMultilevel"/>
    <w:tmpl w:val="EA8222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DAC296D"/>
    <w:multiLevelType w:val="hybridMultilevel"/>
    <w:tmpl w:val="EB3A9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5F7E68"/>
    <w:multiLevelType w:val="hybridMultilevel"/>
    <w:tmpl w:val="2EFE0B4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CC1070F"/>
    <w:multiLevelType w:val="hybridMultilevel"/>
    <w:tmpl w:val="926A71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235B98"/>
    <w:multiLevelType w:val="hybridMultilevel"/>
    <w:tmpl w:val="4A0E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082"/>
    <w:rsid w:val="000005C6"/>
    <w:rsid w:val="00072339"/>
    <w:rsid w:val="000E2B88"/>
    <w:rsid w:val="001605A0"/>
    <w:rsid w:val="00170974"/>
    <w:rsid w:val="001A6C1A"/>
    <w:rsid w:val="001E5E65"/>
    <w:rsid w:val="00226A25"/>
    <w:rsid w:val="00273185"/>
    <w:rsid w:val="00290EE7"/>
    <w:rsid w:val="002932B8"/>
    <w:rsid w:val="00353DF9"/>
    <w:rsid w:val="00400B66"/>
    <w:rsid w:val="00412E6C"/>
    <w:rsid w:val="00426A52"/>
    <w:rsid w:val="004472C4"/>
    <w:rsid w:val="00447B96"/>
    <w:rsid w:val="004965EA"/>
    <w:rsid w:val="004B0B54"/>
    <w:rsid w:val="004B77E9"/>
    <w:rsid w:val="004C4386"/>
    <w:rsid w:val="004F7AA1"/>
    <w:rsid w:val="00521426"/>
    <w:rsid w:val="00594977"/>
    <w:rsid w:val="005E3082"/>
    <w:rsid w:val="0063227B"/>
    <w:rsid w:val="006F1D7D"/>
    <w:rsid w:val="00742E3A"/>
    <w:rsid w:val="00744877"/>
    <w:rsid w:val="007C0551"/>
    <w:rsid w:val="007F77CB"/>
    <w:rsid w:val="008627D8"/>
    <w:rsid w:val="008D0154"/>
    <w:rsid w:val="008D224D"/>
    <w:rsid w:val="009360FD"/>
    <w:rsid w:val="00996658"/>
    <w:rsid w:val="009E420F"/>
    <w:rsid w:val="00A86497"/>
    <w:rsid w:val="00A87F28"/>
    <w:rsid w:val="00A93CE7"/>
    <w:rsid w:val="00AE2944"/>
    <w:rsid w:val="00B07A3E"/>
    <w:rsid w:val="00B45417"/>
    <w:rsid w:val="00B51519"/>
    <w:rsid w:val="00B718C3"/>
    <w:rsid w:val="00B8515A"/>
    <w:rsid w:val="00BA4E90"/>
    <w:rsid w:val="00BC7A09"/>
    <w:rsid w:val="00BD3A5E"/>
    <w:rsid w:val="00C1448D"/>
    <w:rsid w:val="00C273FE"/>
    <w:rsid w:val="00CB5ED7"/>
    <w:rsid w:val="00D30E7C"/>
    <w:rsid w:val="00D81294"/>
    <w:rsid w:val="00D96012"/>
    <w:rsid w:val="00DE2140"/>
    <w:rsid w:val="00DF0724"/>
    <w:rsid w:val="00DF37F5"/>
    <w:rsid w:val="00E21040"/>
    <w:rsid w:val="00E40B6E"/>
    <w:rsid w:val="00E45C6E"/>
    <w:rsid w:val="00E67CBA"/>
    <w:rsid w:val="00E7374E"/>
    <w:rsid w:val="00EB555E"/>
    <w:rsid w:val="00EF6E6C"/>
    <w:rsid w:val="00F638DE"/>
    <w:rsid w:val="00F638EB"/>
    <w:rsid w:val="00F94030"/>
    <w:rsid w:val="00FE0B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008084"/>
  <w15:docId w15:val="{262E773B-E3CC-4489-8F4A-926597586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8EB"/>
    <w:pPr>
      <w:ind w:left="720"/>
      <w:contextualSpacing/>
    </w:pPr>
  </w:style>
  <w:style w:type="table" w:styleId="TableGrid">
    <w:name w:val="Table Grid"/>
    <w:basedOn w:val="TableNormal"/>
    <w:uiPriority w:val="59"/>
    <w:rsid w:val="00EF6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F37F5"/>
    <w:rPr>
      <w:color w:val="0000FF" w:themeColor="hyperlink"/>
      <w:u w:val="single"/>
    </w:rPr>
  </w:style>
  <w:style w:type="paragraph" w:styleId="Header">
    <w:name w:val="header"/>
    <w:basedOn w:val="Normal"/>
    <w:link w:val="HeaderChar"/>
    <w:uiPriority w:val="99"/>
    <w:unhideWhenUsed/>
    <w:rsid w:val="00C144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448D"/>
  </w:style>
  <w:style w:type="paragraph" w:styleId="Footer">
    <w:name w:val="footer"/>
    <w:basedOn w:val="Normal"/>
    <w:link w:val="FooterChar"/>
    <w:uiPriority w:val="99"/>
    <w:unhideWhenUsed/>
    <w:rsid w:val="00C144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48D"/>
  </w:style>
  <w:style w:type="character" w:styleId="FollowedHyperlink">
    <w:name w:val="FollowedHyperlink"/>
    <w:basedOn w:val="DefaultParagraphFont"/>
    <w:uiPriority w:val="99"/>
    <w:semiHidden/>
    <w:unhideWhenUsed/>
    <w:rsid w:val="000723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tc.ca.gov/our-work/invest-protect/investment-strategies-commitments/protect-our-climate/active-transportation" TargetMode="External"/><Relationship Id="rId13" Type="http://schemas.openxmlformats.org/officeDocument/2006/relationships/hyperlink" Target="http://mtc.ca.gov/our-work/plans-projects/other-plans/community-based-transportation-plan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mtc.ca.gov/our-work/invest-protect/investment-strategies-commitments/protect-our-climate/active-transportation" TargetMode="External"/><Relationship Id="rId17" Type="http://schemas.openxmlformats.org/officeDocument/2006/relationships/hyperlink" Target="http://mtc.ca.gov/our-work/invest-protect/investment-strategies-commitments/protect-our-climate/active-transportation" TargetMode="External"/><Relationship Id="rId2" Type="http://schemas.openxmlformats.org/officeDocument/2006/relationships/numbering" Target="numbering.xml"/><Relationship Id="rId16" Type="http://schemas.openxmlformats.org/officeDocument/2006/relationships/hyperlink" Target="http://mtc.ca.gov/our-work/fund-invest/federal-funding/obag-2"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tc.ca.gov/our-work/fund-invest/federal-funding/project-delivery" TargetMode="External"/><Relationship Id="rId5" Type="http://schemas.openxmlformats.org/officeDocument/2006/relationships/webSettings" Target="webSettings.xml"/><Relationship Id="rId15" Type="http://schemas.openxmlformats.org/officeDocument/2006/relationships/hyperlink" Target="http://mtc.ca.gov/our-work/invest-protect/investment-strategies-commitments/protect-our-climate/active-transportation" TargetMode="External"/><Relationship Id="rId23" Type="http://schemas.openxmlformats.org/officeDocument/2006/relationships/theme" Target="theme/theme1.xml"/><Relationship Id="rId10" Type="http://schemas.openxmlformats.org/officeDocument/2006/relationships/hyperlink" Target="http://mtc.ca.gov/our-work/invest-protect/investment-strategies-commitments/protect-our-climate/active-transportatio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arcg.is/1LYEqSm" TargetMode="External"/><Relationship Id="rId14" Type="http://schemas.openxmlformats.org/officeDocument/2006/relationships/hyperlink" Target="http://mtc.ca.gov/our-work/invest-protect/investment-strategies-commitments/protect-our-climate/active-transportatio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9F9697DC-26A3-4E10-872A-6727951E3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1491</Words>
  <Characters>8501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MTC</Company>
  <LinksUpToDate>false</LinksUpToDate>
  <CharactersWithSpaces>9973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Co</dc:creator>
  <cp:lastModifiedBy>Khristina Wenzinger</cp:lastModifiedBy>
  <cp:revision>2</cp:revision>
  <dcterms:created xsi:type="dcterms:W3CDTF">2016-04-28T21:32:00Z</dcterms:created>
  <dcterms:modified xsi:type="dcterms:W3CDTF">2016-04-28T21:32:00Z</dcterms:modified>
</cp:coreProperties>
</file>