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F03B4" w14:textId="77777777" w:rsidR="00757315" w:rsidRPr="00693367" w:rsidRDefault="00BE327D" w:rsidP="004955BC">
      <w:pPr>
        <w:rPr>
          <w:szCs w:val="24"/>
        </w:rPr>
      </w:pPr>
      <w:r w:rsidRPr="00693367">
        <w:rPr>
          <w:noProof/>
          <w:szCs w:val="24"/>
        </w:rPr>
        <mc:AlternateContent>
          <mc:Choice Requires="wps">
            <w:drawing>
              <wp:anchor distT="0" distB="0" distL="114300" distR="114300" simplePos="0" relativeHeight="251657728" behindDoc="0" locked="0" layoutInCell="1" allowOverlap="1" wp14:anchorId="1E371720" wp14:editId="427EDB4D">
                <wp:simplePos x="0" y="0"/>
                <wp:positionH relativeFrom="column">
                  <wp:posOffset>-731520</wp:posOffset>
                </wp:positionH>
                <wp:positionV relativeFrom="paragraph">
                  <wp:posOffset>-546100</wp:posOffset>
                </wp:positionV>
                <wp:extent cx="7823835" cy="193548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835" cy="193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F3B09" w14:textId="77777777" w:rsidR="004955BC" w:rsidRPr="008B5E7C" w:rsidRDefault="00BE327D">
                            <w:r>
                              <w:rPr>
                                <w:noProof/>
                              </w:rPr>
                              <w:drawing>
                                <wp:inline distT="0" distB="0" distL="0" distR="0" wp14:anchorId="2928536B" wp14:editId="0B14E90C">
                                  <wp:extent cx="7639050" cy="1752600"/>
                                  <wp:effectExtent l="0" t="0" r="0" b="0"/>
                                  <wp:docPr id="1" name="Picture 1" descr="MTC_new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C_newsrelea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9050" cy="1752600"/>
                                          </a:xfrm>
                                          <a:prstGeom prst="rect">
                                            <a:avLst/>
                                          </a:prstGeom>
                                          <a:noFill/>
                                          <a:ln>
                                            <a:noFill/>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1E371720" id="_x0000_t202" coordsize="21600,21600" o:spt="202" path="m0,0l0,21600,21600,21600,21600,0xe">
                <v:stroke joinstyle="miter"/>
                <v:path gradientshapeok="t" o:connecttype="rect"/>
              </v:shapetype>
              <v:shape id="Text Box 3" o:spid="_x0000_s1026" type="#_x0000_t202" style="position:absolute;margin-left:-57.6pt;margin-top:-42.95pt;width:616.05pt;height:15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Vxn7ICAAC6BQAADgAAAGRycy9lMm9Eb2MueG1srFTJbtswEL0X6D8QvCtaTNuSEDlILKsokC5A&#10;0g+gJcoiKpEqSVtOg/57h5S3JJeiLQ8El+GbeTOPc32z71q0Y0pzKTIcXgUYMVHKiotNhr89Fl6M&#10;kTZUVLSVgmX4iWl8s3j/7nroUxbJRrYVUwhAhE6HPsONMX3q+7psWEf1leyZgMtaqo4a2KqNXyk6&#10;AHrX+lEQzPxBqqpXsmRaw2k+XuKFw69rVpovda2ZQW2GITbjZuXmtZ39xTVNN4r2DS8PYdC/iKKj&#10;XIDTE1RODUVbxd9AdbxUUsvaXJWy82Vd85I5DsAmDF6xeWhozxwXSI7uT2nS/w+2/Lz7qhCvMhxh&#10;JGgHJXpke4Pu5B5NbHaGXqdg9NCDmdnDMVTZMdX9vSy/ayTksqFiw26VkkPDaAXRhfalf/F0xNEW&#10;ZD18khW4oVsjHdC+Vp1NHSQDATpU6elUGRtKCYfzOJrEkylGJdyFyWRKYlc7n6bH573S5gOTHbKL&#10;DCsovYOnu3ttbDg0PZpYb0IWvG1d+Vvx4gAMxxNwDk/tnQ3DVfM5CZJVvIqJR6LZyiNBnnu3xZJ4&#10;syKcT/NJvlzm4S/rNyRpw6uKCevmqKyQ/FnlDhofNXHSlpYtryycDUmrzXrZKrSjoOzCDZd0uDmb&#10;+S/DcEkALq8ohREJ7qLEK2bx3CMFmXrJPIi9IEzukllAEpIXLyndc8H+nRIaMpxMo+mopnPQr7gF&#10;brzlRtOOG+gdLe8yHJ+MaGo1uBKVK62hvB3XF6mw4Z9TAeU+Ftop1op0lKvZr/eAYmW8ltUTaFdJ&#10;UBYIFBoeLBqpfmI0QPPIsP6xpYph1H4UoP8kJMR2m8uNutysLzdUlACVYYPRuFyasUNte8U3DXg6&#10;/rhb+DMFd2o+R3X4adAgHKlDM7Md6HLvrM4td/EbAAD//wMAUEsDBBQABgAIAAAAIQB61//L4QAA&#10;AA0BAAAPAAAAZHJzL2Rvd25yZXYueG1sTI/BTsMwDIbvSLxD5Elc0JamUqe2NJ0ACU5ctoK4Zo3X&#10;RmuSqsm68vZ4J7j9lj/9/lztFjuwGadgvJMgNgkwdK3XxnUSPpu3dQ4sROW0GrxDCT8YYFff31Wq&#10;1P7q9jgfYseoxIVSSehjHEvOQ9ujVWHjR3S0O/nJqkjj1HE9qSuV24GnSbLlVhlHF3o14muP7flw&#10;sRL29jHjM74XpvnKppfGfIzn71bKh9Xy/AQs4hL/YLjpkzrU5HT0F6cDGySshchSYinlWQHshgix&#10;pXSUkIq8AF5X/P8X9S8AAAD//wMAUEsBAi0AFAAGAAgAAAAhAOSZw8D7AAAA4QEAABMAAAAAAAAA&#10;AAAAAAAAAAAAAFtDb250ZW50X1R5cGVzXS54bWxQSwECLQAUAAYACAAAACEAI7Jq4dcAAACUAQAA&#10;CwAAAAAAAAAAAAAAAAAsAQAAX3JlbHMvLnJlbHNQSwECLQAUAAYACAAAACEASdVxn7ICAAC6BQAA&#10;DgAAAAAAAAAAAAAAAAAsAgAAZHJzL2Uyb0RvYy54bWxQSwECLQAUAAYACAAAACEAetf/y+EAAAAN&#10;AQAADwAAAAAAAAAAAAAAAAAKBQAAZHJzL2Rvd25yZXYueG1sUEsFBgAAAAAEAAQA8wAAABgGAAAA&#10;AA==&#10;" filled="f" stroked="f">
                <v:textbox style="mso-fit-shape-to-text:t" inset=",7.2pt,,7.2pt">
                  <w:txbxContent>
                    <w:p w14:paraId="5AAF3B09" w14:textId="77777777" w:rsidR="004955BC" w:rsidRPr="008B5E7C" w:rsidRDefault="00BE327D">
                      <w:r>
                        <w:rPr>
                          <w:noProof/>
                        </w:rPr>
                        <w:drawing>
                          <wp:inline distT="0" distB="0" distL="0" distR="0" wp14:anchorId="2928536B" wp14:editId="0B14E90C">
                            <wp:extent cx="7639050" cy="1752600"/>
                            <wp:effectExtent l="0" t="0" r="0" b="0"/>
                            <wp:docPr id="1" name="Picture 1" descr="MTC_new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C_newsrelea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9050" cy="1752600"/>
                                    </a:xfrm>
                                    <a:prstGeom prst="rect">
                                      <a:avLst/>
                                    </a:prstGeom>
                                    <a:noFill/>
                                    <a:ln>
                                      <a:noFill/>
                                    </a:ln>
                                  </pic:spPr>
                                </pic:pic>
                              </a:graphicData>
                            </a:graphic>
                          </wp:inline>
                        </w:drawing>
                      </w:r>
                    </w:p>
                  </w:txbxContent>
                </v:textbox>
                <w10:wrap type="square"/>
              </v:shape>
            </w:pict>
          </mc:Fallback>
        </mc:AlternateContent>
      </w:r>
    </w:p>
    <w:p w14:paraId="5CA0F07B" w14:textId="134F3E82" w:rsidR="00757315" w:rsidRPr="00592C9E" w:rsidRDefault="00592C9E" w:rsidP="00592C9E">
      <w:pPr>
        <w:pStyle w:val="Heading2"/>
        <w:tabs>
          <w:tab w:val="clear" w:pos="5400"/>
          <w:tab w:val="clear" w:pos="6480"/>
          <w:tab w:val="left" w:pos="5580"/>
        </w:tabs>
        <w:rPr>
          <w:rFonts w:ascii="Times New Roman" w:hAnsi="Times New Roman"/>
          <w:szCs w:val="24"/>
          <w:lang w:val="es-ES_tradnl"/>
        </w:rPr>
      </w:pPr>
      <w:r w:rsidRPr="00592C9E">
        <w:rPr>
          <w:rFonts w:ascii="Times New Roman" w:hAnsi="Times New Roman"/>
          <w:i/>
          <w:szCs w:val="24"/>
          <w:lang w:val="es-ES_tradnl"/>
        </w:rPr>
        <w:t>Para Publicación Inmediata</w:t>
      </w:r>
      <w:r w:rsidR="00757315" w:rsidRPr="00592C9E">
        <w:rPr>
          <w:rFonts w:ascii="Times New Roman" w:hAnsi="Times New Roman"/>
          <w:szCs w:val="24"/>
          <w:lang w:val="es-ES_tradnl"/>
        </w:rPr>
        <w:tab/>
        <w:t>Contact</w:t>
      </w:r>
      <w:r w:rsidRPr="00592C9E">
        <w:rPr>
          <w:rFonts w:ascii="Times New Roman" w:hAnsi="Times New Roman"/>
          <w:szCs w:val="24"/>
          <w:lang w:val="es-ES_tradnl"/>
        </w:rPr>
        <w:t>o</w:t>
      </w:r>
      <w:r w:rsidR="00757315" w:rsidRPr="00592C9E">
        <w:rPr>
          <w:rFonts w:ascii="Times New Roman" w:hAnsi="Times New Roman"/>
          <w:szCs w:val="24"/>
          <w:lang w:val="es-ES_tradnl"/>
        </w:rPr>
        <w:t xml:space="preserve">: </w:t>
      </w:r>
      <w:r w:rsidR="00757315" w:rsidRPr="00592C9E">
        <w:rPr>
          <w:rFonts w:ascii="Times New Roman" w:hAnsi="Times New Roman"/>
          <w:szCs w:val="24"/>
          <w:lang w:val="es-ES_tradnl"/>
        </w:rPr>
        <w:tab/>
      </w:r>
      <w:r w:rsidR="00693367" w:rsidRPr="00592C9E">
        <w:rPr>
          <w:rFonts w:ascii="Times New Roman" w:hAnsi="Times New Roman"/>
          <w:szCs w:val="24"/>
          <w:lang w:val="es-ES_tradnl"/>
        </w:rPr>
        <w:t>Randy Rentschler</w:t>
      </w:r>
      <w:r w:rsidR="00757315" w:rsidRPr="00592C9E">
        <w:rPr>
          <w:rFonts w:ascii="Times New Roman" w:hAnsi="Times New Roman"/>
          <w:szCs w:val="24"/>
          <w:lang w:val="es-ES_tradnl"/>
        </w:rPr>
        <w:tab/>
      </w:r>
      <w:r w:rsidR="004955BC" w:rsidRPr="00592C9E">
        <w:rPr>
          <w:rFonts w:ascii="Times New Roman" w:hAnsi="Times New Roman"/>
          <w:szCs w:val="24"/>
          <w:lang w:val="es-ES_tradnl"/>
        </w:rPr>
        <w:t>415.778</w:t>
      </w:r>
      <w:r w:rsidR="00757315" w:rsidRPr="00592C9E">
        <w:rPr>
          <w:rFonts w:ascii="Times New Roman" w:hAnsi="Times New Roman"/>
          <w:szCs w:val="24"/>
          <w:lang w:val="es-ES_tradnl"/>
        </w:rPr>
        <w:t>.</w:t>
      </w:r>
      <w:r w:rsidR="00693367" w:rsidRPr="00592C9E">
        <w:rPr>
          <w:rFonts w:ascii="Times New Roman" w:hAnsi="Times New Roman"/>
          <w:szCs w:val="24"/>
          <w:lang w:val="es-ES_tradnl"/>
        </w:rPr>
        <w:t>6780</w:t>
      </w:r>
    </w:p>
    <w:p w14:paraId="253679E0" w14:textId="77777777" w:rsidR="00757315" w:rsidRPr="00592C9E" w:rsidRDefault="00757315">
      <w:pPr>
        <w:pStyle w:val="BodyText"/>
        <w:tabs>
          <w:tab w:val="clear" w:pos="6480"/>
          <w:tab w:val="left" w:pos="5580"/>
        </w:tabs>
        <w:rPr>
          <w:rFonts w:ascii="Times New Roman" w:hAnsi="Times New Roman"/>
          <w:szCs w:val="24"/>
          <w:lang w:val="es-ES_tradnl"/>
        </w:rPr>
      </w:pPr>
      <w:r w:rsidRPr="00592C9E">
        <w:rPr>
          <w:rFonts w:ascii="Times New Roman" w:hAnsi="Times New Roman"/>
          <w:szCs w:val="24"/>
          <w:lang w:val="es-ES_tradnl"/>
        </w:rPr>
        <w:tab/>
      </w:r>
      <w:r w:rsidRPr="00592C9E">
        <w:rPr>
          <w:rFonts w:ascii="Times New Roman" w:hAnsi="Times New Roman"/>
          <w:szCs w:val="24"/>
          <w:lang w:val="es-ES_tradnl"/>
        </w:rPr>
        <w:tab/>
      </w:r>
    </w:p>
    <w:p w14:paraId="35EE3C06" w14:textId="77777777" w:rsidR="00757315" w:rsidRPr="00592C9E" w:rsidRDefault="00757315">
      <w:pPr>
        <w:rPr>
          <w:b/>
          <w:szCs w:val="24"/>
          <w:lang w:val="es-ES_tradnl"/>
        </w:rPr>
      </w:pPr>
    </w:p>
    <w:p w14:paraId="7835E9DD" w14:textId="697CD984" w:rsidR="00EE5E6F" w:rsidRPr="00592C9E" w:rsidRDefault="00592C9E" w:rsidP="00592C9E">
      <w:pPr>
        <w:pStyle w:val="Heading1"/>
        <w:rPr>
          <w:rFonts w:ascii="Times New Roman" w:hAnsi="Times New Roman"/>
          <w:sz w:val="24"/>
          <w:szCs w:val="24"/>
          <w:lang w:val="es-ES_tradnl"/>
        </w:rPr>
      </w:pPr>
      <w:r w:rsidRPr="00592C9E">
        <w:rPr>
          <w:rFonts w:ascii="Times New Roman" w:hAnsi="Times New Roman"/>
          <w:sz w:val="24"/>
          <w:szCs w:val="24"/>
          <w:lang w:val="es-ES_tradnl"/>
        </w:rPr>
        <w:t xml:space="preserve">El Gobernador Aprueba Ley Apoyada por MTC Que Requiere Que Agencias de Autos </w:t>
      </w:r>
      <w:r>
        <w:rPr>
          <w:rFonts w:ascii="Times New Roman" w:hAnsi="Times New Roman"/>
          <w:sz w:val="24"/>
          <w:szCs w:val="24"/>
          <w:lang w:val="es-ES_tradnl"/>
        </w:rPr>
        <w:br/>
      </w:r>
      <w:r w:rsidRPr="00592C9E">
        <w:rPr>
          <w:rFonts w:ascii="Times New Roman" w:hAnsi="Times New Roman"/>
          <w:sz w:val="24"/>
          <w:szCs w:val="24"/>
          <w:lang w:val="es-ES_tradnl"/>
        </w:rPr>
        <w:t>Instalen Placas en el Lugar de Venta</w:t>
      </w:r>
    </w:p>
    <w:p w14:paraId="4759C2BD" w14:textId="77777777" w:rsidR="007766B0" w:rsidRPr="00592C9E" w:rsidRDefault="007766B0" w:rsidP="007766B0">
      <w:pPr>
        <w:rPr>
          <w:b/>
          <w:szCs w:val="24"/>
          <w:lang w:val="es-ES_tradnl"/>
        </w:rPr>
      </w:pPr>
    </w:p>
    <w:p w14:paraId="5990A573" w14:textId="77777777" w:rsidR="00D24CA1" w:rsidRPr="00592C9E" w:rsidRDefault="00D24CA1" w:rsidP="007766B0">
      <w:pPr>
        <w:rPr>
          <w:b/>
          <w:szCs w:val="24"/>
          <w:lang w:val="es-ES_tradnl"/>
        </w:rPr>
      </w:pPr>
    </w:p>
    <w:p w14:paraId="2D95C123" w14:textId="422CD908" w:rsidR="00592C9E" w:rsidRDefault="00757315" w:rsidP="00693367">
      <w:pPr>
        <w:spacing w:line="360" w:lineRule="auto"/>
        <w:rPr>
          <w:szCs w:val="24"/>
          <w:lang w:val="es-ES_tradnl"/>
        </w:rPr>
      </w:pPr>
      <w:r w:rsidRPr="00592C9E">
        <w:rPr>
          <w:szCs w:val="24"/>
          <w:lang w:val="es-ES_tradnl"/>
        </w:rPr>
        <w:tab/>
      </w:r>
      <w:r w:rsidR="00621E0F" w:rsidRPr="00592C9E">
        <w:rPr>
          <w:b/>
          <w:szCs w:val="24"/>
          <w:lang w:val="es-ES_tradnl"/>
        </w:rPr>
        <w:t>SAN FRANCISCO</w:t>
      </w:r>
      <w:r w:rsidRPr="00592C9E">
        <w:rPr>
          <w:b/>
          <w:szCs w:val="24"/>
          <w:lang w:val="es-ES_tradnl"/>
        </w:rPr>
        <w:t xml:space="preserve">, </w:t>
      </w:r>
      <w:r w:rsidR="00693367" w:rsidRPr="00592C9E">
        <w:rPr>
          <w:b/>
          <w:szCs w:val="24"/>
          <w:lang w:val="es-ES_tradnl"/>
        </w:rPr>
        <w:t>26</w:t>
      </w:r>
      <w:r w:rsidR="00592C9E" w:rsidRPr="00592C9E">
        <w:rPr>
          <w:b/>
          <w:szCs w:val="24"/>
          <w:lang w:val="es-ES_tradnl"/>
        </w:rPr>
        <w:t xml:space="preserve"> de julio de</w:t>
      </w:r>
      <w:r w:rsidRPr="00592C9E">
        <w:rPr>
          <w:b/>
          <w:szCs w:val="24"/>
          <w:lang w:val="es-ES_tradnl"/>
        </w:rPr>
        <w:t xml:space="preserve"> 20</w:t>
      </w:r>
      <w:r w:rsidR="00693367" w:rsidRPr="00592C9E">
        <w:rPr>
          <w:b/>
          <w:szCs w:val="24"/>
          <w:lang w:val="es-ES_tradnl"/>
        </w:rPr>
        <w:t>16</w:t>
      </w:r>
      <w:r w:rsidRPr="00592C9E">
        <w:rPr>
          <w:b/>
          <w:szCs w:val="24"/>
          <w:lang w:val="es-ES_tradnl"/>
        </w:rPr>
        <w:t xml:space="preserve"> . . . </w:t>
      </w:r>
      <w:r w:rsidR="00592C9E" w:rsidRPr="00592C9E">
        <w:rPr>
          <w:szCs w:val="24"/>
          <w:lang w:val="es-ES_tradnl"/>
        </w:rPr>
        <w:t>Los agentes de policía</w:t>
      </w:r>
      <w:r w:rsidR="00693367" w:rsidRPr="00592C9E">
        <w:rPr>
          <w:szCs w:val="24"/>
          <w:lang w:val="es-ES_tradnl"/>
        </w:rPr>
        <w:t xml:space="preserve"> </w:t>
      </w:r>
      <w:r w:rsidR="00592C9E" w:rsidRPr="00592C9E">
        <w:rPr>
          <w:szCs w:val="24"/>
          <w:lang w:val="es-ES_tradnl"/>
        </w:rPr>
        <w:t>tendrán más facilidad de atrapar a los evasores de peajes y otros delincuentes</w:t>
      </w:r>
      <w:r w:rsidR="00592C9E">
        <w:rPr>
          <w:szCs w:val="24"/>
          <w:lang w:val="es-ES_tradnl"/>
        </w:rPr>
        <w:t xml:space="preserve"> gracias a una ley</w:t>
      </w:r>
      <w:bookmarkStart w:id="0" w:name="_GoBack"/>
      <w:bookmarkEnd w:id="0"/>
      <w:r w:rsidR="00592C9E">
        <w:rPr>
          <w:szCs w:val="24"/>
          <w:lang w:val="es-ES_tradnl"/>
        </w:rPr>
        <w:t xml:space="preserve"> que fue apoyada por la MTC la cual requiere que las agencias de autos instalen placas a todos los autos recién comprados en lugar de ponerles una placa genérica de papel. La medida, AB 516 del Presidente de la Asamblea del Estado </w:t>
      </w:r>
      <w:r w:rsidR="00592C9E" w:rsidRPr="00592C9E">
        <w:rPr>
          <w:szCs w:val="24"/>
          <w:lang w:val="es-ES_tradnl"/>
        </w:rPr>
        <w:t xml:space="preserve">Kevin Mullin </w:t>
      </w:r>
      <w:r w:rsidR="00693367" w:rsidRPr="00592C9E">
        <w:rPr>
          <w:szCs w:val="24"/>
          <w:lang w:val="es-ES_tradnl"/>
        </w:rPr>
        <w:t xml:space="preserve">(D-South San Francisco), </w:t>
      </w:r>
      <w:r w:rsidR="00592C9E" w:rsidRPr="00592C9E">
        <w:rPr>
          <w:szCs w:val="24"/>
          <w:lang w:val="es-ES_tradnl"/>
        </w:rPr>
        <w:t xml:space="preserve">fue firmada como ley el 25 de julio por el Gobernador </w:t>
      </w:r>
      <w:r w:rsidR="004518F7" w:rsidRPr="00592C9E">
        <w:rPr>
          <w:szCs w:val="24"/>
          <w:lang w:val="es-ES_tradnl"/>
        </w:rPr>
        <w:t xml:space="preserve">Edmund G. Brown, Jr. </w:t>
      </w:r>
      <w:r w:rsidR="00592C9E" w:rsidRPr="00592C9E">
        <w:rPr>
          <w:szCs w:val="24"/>
          <w:lang w:val="es-ES_tradnl"/>
        </w:rPr>
        <w:t>Esta ley permitirá que sea más fácil identificar</w:t>
      </w:r>
      <w:r w:rsidR="00592C9E">
        <w:rPr>
          <w:szCs w:val="24"/>
          <w:lang w:val="es-ES_tradnl"/>
        </w:rPr>
        <w:t xml:space="preserve"> los</w:t>
      </w:r>
      <w:r w:rsidR="00592C9E" w:rsidRPr="00592C9E">
        <w:rPr>
          <w:szCs w:val="24"/>
          <w:lang w:val="es-ES_tradnl"/>
        </w:rPr>
        <w:t xml:space="preserve"> vehículos de dueños con autos sin placas involucrados en un crimen o en un accidente de tránsito al igual que mejorar el problema creciente de lo</w:t>
      </w:r>
      <w:r w:rsidR="000C54AA">
        <w:rPr>
          <w:szCs w:val="24"/>
          <w:lang w:val="es-ES_tradnl"/>
        </w:rPr>
        <w:t>s que hacen trampa con el peaje.</w:t>
      </w:r>
    </w:p>
    <w:p w14:paraId="0A1AD367" w14:textId="33A675ED" w:rsidR="000C54AA" w:rsidRDefault="000C54AA" w:rsidP="00693367">
      <w:pPr>
        <w:spacing w:line="360" w:lineRule="auto"/>
        <w:rPr>
          <w:szCs w:val="24"/>
          <w:lang w:val="es-ES_tradnl"/>
        </w:rPr>
      </w:pPr>
      <w:r>
        <w:rPr>
          <w:szCs w:val="24"/>
          <w:lang w:val="es-ES_tradnl"/>
        </w:rPr>
        <w:tab/>
        <w:t>“Estoy muy contento de que el Gobernador Brown haya aprobado la ley AB 516,” dijo Mullin. “También aprecio mucho el apoyo de agencias como la MTC. La ley no solo proporcionará información crítica a las agencias de seguridad para ayudar a resolver crímenes, pero también regresará millones de dólares en ingresos los cuales agencias como la MTC no han podido cobrar a causa de la evasión de peajes en los puentes, caminos de cobro, y los carriles exprés. Estos ingresos se pueden usar para el beneficio de toda el Área de la Bahía, y en el panorama general, a todos los Californianos.”</w:t>
      </w:r>
    </w:p>
    <w:p w14:paraId="1406DA72" w14:textId="7BA7490C" w:rsidR="000C54AA" w:rsidRDefault="000C54AA" w:rsidP="00693367">
      <w:pPr>
        <w:spacing w:line="360" w:lineRule="auto"/>
        <w:rPr>
          <w:szCs w:val="24"/>
          <w:lang w:val="es-ES_tradnl"/>
        </w:rPr>
      </w:pPr>
      <w:r w:rsidRPr="000C54AA">
        <w:rPr>
          <w:szCs w:val="24"/>
          <w:lang w:val="es-ES_tradnl"/>
        </w:rPr>
        <w:tab/>
        <w:t xml:space="preserve">La MTC calcula que el Área de la Bahía pierde alrededor de $9 millones </w:t>
      </w:r>
      <w:r w:rsidR="00935693">
        <w:rPr>
          <w:szCs w:val="24"/>
          <w:lang w:val="es-ES_tradnl"/>
        </w:rPr>
        <w:t xml:space="preserve">de dólares </w:t>
      </w:r>
      <w:r w:rsidRPr="000C54AA">
        <w:rPr>
          <w:szCs w:val="24"/>
          <w:lang w:val="es-ES_tradnl"/>
        </w:rPr>
        <w:t xml:space="preserve">al año en peajes que no se pueden cobrar, mientras que en el sur de California los caminos de cobro y los carriles </w:t>
      </w:r>
      <w:r w:rsidR="00935693" w:rsidRPr="000C54AA">
        <w:rPr>
          <w:szCs w:val="24"/>
          <w:lang w:val="es-ES_tradnl"/>
        </w:rPr>
        <w:t>exprés</w:t>
      </w:r>
      <w:r w:rsidRPr="000C54AA">
        <w:rPr>
          <w:szCs w:val="24"/>
          <w:lang w:val="es-ES_tradnl"/>
        </w:rPr>
        <w:t xml:space="preserve"> pierden $10 millones </w:t>
      </w:r>
      <w:r w:rsidR="00935693">
        <w:rPr>
          <w:szCs w:val="24"/>
          <w:lang w:val="es-ES_tradnl"/>
        </w:rPr>
        <w:t xml:space="preserve">de dólares </w:t>
      </w:r>
      <w:r w:rsidRPr="000C54AA">
        <w:rPr>
          <w:szCs w:val="24"/>
          <w:lang w:val="es-ES_tradnl"/>
        </w:rPr>
        <w:t xml:space="preserve">— fondos que se pueden </w:t>
      </w:r>
      <w:r w:rsidR="00935693" w:rsidRPr="000C54AA">
        <w:rPr>
          <w:szCs w:val="24"/>
          <w:lang w:val="es-ES_tradnl"/>
        </w:rPr>
        <w:t>utilizar</w:t>
      </w:r>
      <w:r w:rsidRPr="000C54AA">
        <w:rPr>
          <w:szCs w:val="24"/>
          <w:lang w:val="es-ES_tradnl"/>
        </w:rPr>
        <w:t xml:space="preserve"> </w:t>
      </w:r>
      <w:r w:rsidR="00935693">
        <w:rPr>
          <w:szCs w:val="24"/>
          <w:lang w:val="es-ES_tradnl"/>
        </w:rPr>
        <w:t>para reinvertirse en la infraestructura de California.</w:t>
      </w:r>
    </w:p>
    <w:p w14:paraId="5093121D" w14:textId="7E1D0767" w:rsidR="00935693" w:rsidRDefault="00935693" w:rsidP="00935693">
      <w:pPr>
        <w:spacing w:line="360" w:lineRule="auto"/>
        <w:ind w:firstLine="720"/>
        <w:rPr>
          <w:szCs w:val="24"/>
          <w:lang w:val="es-ES_tradnl"/>
        </w:rPr>
      </w:pPr>
      <w:r>
        <w:rPr>
          <w:szCs w:val="24"/>
          <w:lang w:val="es-ES_tradnl"/>
        </w:rPr>
        <w:t>La ley de Mullin requiere que los autos nuevos salgan de la agencia con una placa de papel que identifique el auto en vez de una placa genérica. La ley está basada en programas de placas temporales</w:t>
      </w:r>
    </w:p>
    <w:p w14:paraId="1D906DD7" w14:textId="77777777" w:rsidR="00935693" w:rsidRDefault="00935693" w:rsidP="00935693">
      <w:pPr>
        <w:spacing w:line="360" w:lineRule="auto"/>
        <w:ind w:firstLine="720"/>
        <w:rPr>
          <w:szCs w:val="24"/>
          <w:lang w:val="es-ES_tradnl"/>
        </w:rPr>
      </w:pPr>
    </w:p>
    <w:p w14:paraId="214BAD6B" w14:textId="3747442A" w:rsidR="00935693" w:rsidRPr="00B32709" w:rsidRDefault="00935693" w:rsidP="00935693">
      <w:pPr>
        <w:spacing w:line="360" w:lineRule="auto"/>
        <w:ind w:firstLine="720"/>
        <w:jc w:val="center"/>
        <w:rPr>
          <w:i/>
          <w:szCs w:val="24"/>
          <w:lang w:val="es-MX"/>
        </w:rPr>
      </w:pPr>
      <w:r w:rsidRPr="00B32709">
        <w:rPr>
          <w:i/>
          <w:szCs w:val="24"/>
          <w:lang w:val="es-MX"/>
        </w:rPr>
        <w:t>-contin</w:t>
      </w:r>
      <w:r w:rsidR="001C377A" w:rsidRPr="00B32709">
        <w:rPr>
          <w:i/>
          <w:szCs w:val="24"/>
          <w:lang w:val="es-MX"/>
        </w:rPr>
        <w:t>ú</w:t>
      </w:r>
      <w:r w:rsidRPr="00B32709">
        <w:rPr>
          <w:i/>
          <w:szCs w:val="24"/>
          <w:lang w:val="es-MX"/>
        </w:rPr>
        <w:t>a-</w:t>
      </w:r>
    </w:p>
    <w:p w14:paraId="5BAA4725" w14:textId="6D512825" w:rsidR="00935693" w:rsidRDefault="00935693" w:rsidP="00693367">
      <w:pPr>
        <w:spacing w:line="360" w:lineRule="auto"/>
        <w:rPr>
          <w:szCs w:val="24"/>
          <w:lang w:val="es-ES_tradnl"/>
        </w:rPr>
      </w:pPr>
      <w:r>
        <w:rPr>
          <w:szCs w:val="24"/>
          <w:lang w:val="es-ES_tradnl"/>
        </w:rPr>
        <w:lastRenderedPageBreak/>
        <w:t xml:space="preserve">que </w:t>
      </w:r>
      <w:r w:rsidR="00587B6A">
        <w:rPr>
          <w:szCs w:val="24"/>
          <w:lang w:val="es-ES_tradnl"/>
        </w:rPr>
        <w:t>existen</w:t>
      </w:r>
      <w:r>
        <w:rPr>
          <w:szCs w:val="24"/>
          <w:lang w:val="es-ES_tradnl"/>
        </w:rPr>
        <w:t xml:space="preserve"> en docenas de otros estados. En vez de un sistema anticuado, basado en papel de control de </w:t>
      </w:r>
      <w:r w:rsidR="001C377A">
        <w:rPr>
          <w:szCs w:val="24"/>
          <w:lang w:val="es-ES_tradnl"/>
        </w:rPr>
        <w:t>las ventas nuevas</w:t>
      </w:r>
      <w:r>
        <w:rPr>
          <w:szCs w:val="24"/>
          <w:lang w:val="es-ES_tradnl"/>
        </w:rPr>
        <w:t>, una base de datos en tiempo real estará disponible para las agencias de seguridad en cuanto un auto recién comprado</w:t>
      </w:r>
      <w:r w:rsidR="00587B6A">
        <w:rPr>
          <w:szCs w:val="24"/>
          <w:lang w:val="es-ES_tradnl"/>
        </w:rPr>
        <w:t xml:space="preserve"> salga de la agencia</w:t>
      </w:r>
      <w:r>
        <w:rPr>
          <w:szCs w:val="24"/>
          <w:lang w:val="es-ES_tradnl"/>
        </w:rPr>
        <w:t>.</w:t>
      </w:r>
      <w:r w:rsidR="00587B6A">
        <w:rPr>
          <w:szCs w:val="24"/>
          <w:lang w:val="es-ES_tradnl"/>
        </w:rPr>
        <w:t xml:space="preserve"> Las placas permanentes continuar</w:t>
      </w:r>
      <w:r w:rsidR="001C377A">
        <w:rPr>
          <w:szCs w:val="24"/>
          <w:lang w:val="es-ES_tradnl"/>
        </w:rPr>
        <w:t>á</w:t>
      </w:r>
      <w:r w:rsidR="00587B6A">
        <w:rPr>
          <w:szCs w:val="24"/>
          <w:lang w:val="es-ES_tradnl"/>
        </w:rPr>
        <w:t xml:space="preserve">n siendo enviadas a los dueños por el Departamento de </w:t>
      </w:r>
      <w:r w:rsidR="001C377A">
        <w:rPr>
          <w:szCs w:val="24"/>
          <w:lang w:val="es-ES_tradnl"/>
        </w:rPr>
        <w:t>Vehículos</w:t>
      </w:r>
      <w:r w:rsidR="00587B6A">
        <w:rPr>
          <w:szCs w:val="24"/>
          <w:lang w:val="es-ES_tradnl"/>
        </w:rPr>
        <w:t xml:space="preserve"> Motorizados de California (DMV).</w:t>
      </w:r>
    </w:p>
    <w:p w14:paraId="5D7DFD9D" w14:textId="132BB1EE" w:rsidR="001C377A" w:rsidRDefault="001C377A" w:rsidP="00693367">
      <w:pPr>
        <w:spacing w:line="360" w:lineRule="auto"/>
        <w:rPr>
          <w:szCs w:val="24"/>
          <w:lang w:val="es-ES_tradnl"/>
        </w:rPr>
      </w:pPr>
      <w:r w:rsidRPr="00682761">
        <w:rPr>
          <w:szCs w:val="24"/>
          <w:lang w:val="es-ES_tradnl"/>
        </w:rPr>
        <w:tab/>
        <w:t xml:space="preserve">Varias agencias de seguridad y la </w:t>
      </w:r>
      <w:r w:rsidR="00682761" w:rsidRPr="00682761">
        <w:rPr>
          <w:szCs w:val="24"/>
          <w:lang w:val="es-ES_tradnl"/>
        </w:rPr>
        <w:t>Asociación</w:t>
      </w:r>
      <w:r w:rsidRPr="00682761">
        <w:rPr>
          <w:szCs w:val="24"/>
          <w:lang w:val="es-ES_tradnl"/>
        </w:rPr>
        <w:t xml:space="preserve"> de Agencias de Autos Nuevos de </w:t>
      </w:r>
      <w:r w:rsidR="00682761" w:rsidRPr="00682761">
        <w:rPr>
          <w:szCs w:val="24"/>
          <w:lang w:val="es-ES_tradnl"/>
        </w:rPr>
        <w:t>California</w:t>
      </w:r>
      <w:r w:rsidRPr="00682761">
        <w:rPr>
          <w:szCs w:val="24"/>
          <w:lang w:val="es-ES_tradnl"/>
        </w:rPr>
        <w:t xml:space="preserve"> apoyaron el </w:t>
      </w:r>
      <w:r w:rsidR="00682761">
        <w:rPr>
          <w:szCs w:val="24"/>
          <w:lang w:val="es-ES_tradnl"/>
        </w:rPr>
        <w:t>p</w:t>
      </w:r>
      <w:r w:rsidRPr="00682761">
        <w:rPr>
          <w:szCs w:val="24"/>
          <w:lang w:val="es-ES_tradnl"/>
        </w:rPr>
        <w:t xml:space="preserve">royecto de ley, al igual que </w:t>
      </w:r>
      <w:r w:rsidR="00682761" w:rsidRPr="00682761">
        <w:rPr>
          <w:szCs w:val="24"/>
          <w:lang w:val="es-ES_tradnl"/>
        </w:rPr>
        <w:t>más</w:t>
      </w:r>
      <w:r w:rsidRPr="00682761">
        <w:rPr>
          <w:szCs w:val="24"/>
          <w:lang w:val="es-ES_tradnl"/>
        </w:rPr>
        <w:t xml:space="preserve"> de 5,000 </w:t>
      </w:r>
      <w:r w:rsidR="00682761" w:rsidRPr="00682761">
        <w:rPr>
          <w:szCs w:val="24"/>
          <w:lang w:val="es-ES_tradnl"/>
        </w:rPr>
        <w:t>individuos</w:t>
      </w:r>
      <w:r w:rsidRPr="00682761">
        <w:rPr>
          <w:szCs w:val="24"/>
          <w:lang w:val="es-ES_tradnl"/>
        </w:rPr>
        <w:t xml:space="preserve"> que firmaros una </w:t>
      </w:r>
      <w:r w:rsidR="00682761" w:rsidRPr="00682761">
        <w:rPr>
          <w:szCs w:val="24"/>
          <w:lang w:val="es-ES_tradnl"/>
        </w:rPr>
        <w:t>petición</w:t>
      </w:r>
      <w:r w:rsidRPr="00682761">
        <w:rPr>
          <w:szCs w:val="24"/>
          <w:lang w:val="es-ES_tradnl"/>
        </w:rPr>
        <w:t xml:space="preserve"> apoyando la ley </w:t>
      </w:r>
      <w:r w:rsidR="00682761" w:rsidRPr="00682761">
        <w:rPr>
          <w:szCs w:val="24"/>
          <w:lang w:val="es-ES_tradnl"/>
        </w:rPr>
        <w:t>después</w:t>
      </w:r>
      <w:r w:rsidRPr="00682761">
        <w:rPr>
          <w:szCs w:val="24"/>
          <w:lang w:val="es-ES_tradnl"/>
        </w:rPr>
        <w:t xml:space="preserve"> de la muerte de Michael Bonanomi quien </w:t>
      </w:r>
      <w:r w:rsidR="00682761" w:rsidRPr="00682761">
        <w:rPr>
          <w:szCs w:val="24"/>
          <w:lang w:val="es-ES_tradnl"/>
        </w:rPr>
        <w:t>murió</w:t>
      </w:r>
      <w:r w:rsidRPr="00682761">
        <w:rPr>
          <w:szCs w:val="24"/>
          <w:lang w:val="es-ES_tradnl"/>
        </w:rPr>
        <w:t xml:space="preserve"> en</w:t>
      </w:r>
      <w:r w:rsidR="00682761">
        <w:rPr>
          <w:szCs w:val="24"/>
          <w:lang w:val="es-ES_tradnl"/>
        </w:rPr>
        <w:t xml:space="preserve"> un accidente de auto en el sur</w:t>
      </w:r>
      <w:r w:rsidRPr="00682761">
        <w:rPr>
          <w:szCs w:val="24"/>
          <w:lang w:val="es-ES_tradnl"/>
        </w:rPr>
        <w:t xml:space="preserve"> de California </w:t>
      </w:r>
      <w:r w:rsidR="00682761">
        <w:rPr>
          <w:szCs w:val="24"/>
          <w:lang w:val="es-ES_tradnl"/>
        </w:rPr>
        <w:t>en el cual</w:t>
      </w:r>
      <w:r w:rsidRPr="00682761">
        <w:rPr>
          <w:szCs w:val="24"/>
          <w:lang w:val="es-ES_tradnl"/>
        </w:rPr>
        <w:t xml:space="preserve"> el conductor huyo de la escena del crimen en un auto con placas </w:t>
      </w:r>
      <w:r w:rsidR="00682761" w:rsidRPr="00682761">
        <w:rPr>
          <w:szCs w:val="24"/>
          <w:lang w:val="es-ES_tradnl"/>
        </w:rPr>
        <w:t>temporales</w:t>
      </w:r>
      <w:r w:rsidRPr="00682761">
        <w:rPr>
          <w:szCs w:val="24"/>
          <w:lang w:val="es-ES_tradnl"/>
        </w:rPr>
        <w:t>.</w:t>
      </w:r>
    </w:p>
    <w:p w14:paraId="2B4F11BD" w14:textId="0E969462" w:rsidR="00587B6A" w:rsidRPr="000C54AA" w:rsidRDefault="00682761" w:rsidP="00693367">
      <w:pPr>
        <w:spacing w:line="360" w:lineRule="auto"/>
        <w:rPr>
          <w:szCs w:val="24"/>
          <w:lang w:val="es-ES_tradnl"/>
        </w:rPr>
      </w:pPr>
      <w:r>
        <w:rPr>
          <w:szCs w:val="24"/>
          <w:lang w:val="es-ES_tradnl"/>
        </w:rPr>
        <w:tab/>
        <w:t>MTC es la agencia regional de planificación, financiación, y coordinación del transporte de los nueve condados del Área de la Bahía.</w:t>
      </w:r>
    </w:p>
    <w:p w14:paraId="5E167298" w14:textId="77777777" w:rsidR="008436E1" w:rsidRPr="00693367" w:rsidRDefault="008436E1" w:rsidP="008436E1">
      <w:pPr>
        <w:spacing w:line="480" w:lineRule="auto"/>
        <w:jc w:val="center"/>
        <w:rPr>
          <w:szCs w:val="24"/>
        </w:rPr>
      </w:pPr>
      <w:r w:rsidRPr="00693367">
        <w:rPr>
          <w:szCs w:val="24"/>
        </w:rPr>
        <w:t>###</w:t>
      </w:r>
    </w:p>
    <w:sectPr w:rsidR="008436E1" w:rsidRPr="00693367" w:rsidSect="005142A0">
      <w:headerReference w:type="even" r:id="rId9"/>
      <w:headerReference w:type="default" r:id="rId10"/>
      <w:footerReference w:type="first" r:id="rId11"/>
      <w:pgSz w:w="12240" w:h="15840" w:code="1"/>
      <w:pgMar w:top="576" w:right="1152" w:bottom="432"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E1A05" w14:textId="77777777" w:rsidR="008578A3" w:rsidRDefault="008578A3">
      <w:r>
        <w:separator/>
      </w:r>
    </w:p>
  </w:endnote>
  <w:endnote w:type="continuationSeparator" w:id="0">
    <w:p w14:paraId="48819F71" w14:textId="77777777" w:rsidR="008578A3" w:rsidRDefault="0085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C7CCC" w14:textId="77777777" w:rsidR="00757315" w:rsidRDefault="00757315">
    <w:pPr>
      <w:pStyle w:val="Footer"/>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F13A3" w14:textId="77777777" w:rsidR="008578A3" w:rsidRDefault="008578A3">
      <w:r>
        <w:separator/>
      </w:r>
    </w:p>
  </w:footnote>
  <w:footnote w:type="continuationSeparator" w:id="0">
    <w:p w14:paraId="6A29C726" w14:textId="77777777" w:rsidR="008578A3" w:rsidRDefault="00857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995FF" w14:textId="133F5152" w:rsidR="00757315" w:rsidRPr="001C377A" w:rsidRDefault="001C377A">
    <w:pPr>
      <w:pStyle w:val="Header"/>
      <w:rPr>
        <w:sz w:val="20"/>
        <w:lang w:val="es-ES_tradnl"/>
      </w:rPr>
    </w:pPr>
    <w:r w:rsidRPr="001C377A">
      <w:rPr>
        <w:sz w:val="20"/>
        <w:lang w:val="es-ES_tradnl"/>
      </w:rPr>
      <w:t>Gobernador Aprueba Ley Apoyada por la MTC</w:t>
    </w:r>
  </w:p>
  <w:p w14:paraId="519C4ACD" w14:textId="5A27119E" w:rsidR="00757315" w:rsidRPr="001C377A" w:rsidRDefault="001C377A">
    <w:pPr>
      <w:pStyle w:val="Header"/>
      <w:rPr>
        <w:rStyle w:val="PageNumber"/>
        <w:sz w:val="20"/>
        <w:lang w:val="es-ES_tradnl"/>
      </w:rPr>
    </w:pPr>
    <w:r w:rsidRPr="001C377A">
      <w:rPr>
        <w:sz w:val="20"/>
        <w:lang w:val="es-ES_tradnl"/>
      </w:rPr>
      <w:t>Página</w:t>
    </w:r>
    <w:r w:rsidR="00757315" w:rsidRPr="001C377A">
      <w:rPr>
        <w:sz w:val="20"/>
        <w:lang w:val="es-ES_tradnl"/>
      </w:rPr>
      <w:t xml:space="preserve"> </w:t>
    </w:r>
    <w:r w:rsidR="00757315" w:rsidRPr="001C377A">
      <w:rPr>
        <w:rStyle w:val="PageNumber"/>
        <w:sz w:val="20"/>
        <w:lang w:val="es-ES_tradnl"/>
      </w:rPr>
      <w:fldChar w:fldCharType="begin"/>
    </w:r>
    <w:r w:rsidR="00757315" w:rsidRPr="001C377A">
      <w:rPr>
        <w:rStyle w:val="PageNumber"/>
        <w:sz w:val="20"/>
        <w:lang w:val="es-ES_tradnl"/>
      </w:rPr>
      <w:instrText xml:space="preserve"> PAGE </w:instrText>
    </w:r>
    <w:r w:rsidR="00757315" w:rsidRPr="001C377A">
      <w:rPr>
        <w:rStyle w:val="PageNumber"/>
        <w:sz w:val="20"/>
        <w:lang w:val="es-ES_tradnl"/>
      </w:rPr>
      <w:fldChar w:fldCharType="separate"/>
    </w:r>
    <w:r w:rsidR="00A11145">
      <w:rPr>
        <w:rStyle w:val="PageNumber"/>
        <w:noProof/>
        <w:sz w:val="20"/>
        <w:lang w:val="es-ES_tradnl"/>
      </w:rPr>
      <w:t>2</w:t>
    </w:r>
    <w:r w:rsidR="00757315" w:rsidRPr="001C377A">
      <w:rPr>
        <w:rStyle w:val="PageNumber"/>
        <w:sz w:val="20"/>
        <w:lang w:val="es-ES_tradnl"/>
      </w:rPr>
      <w:fldChar w:fldCharType="end"/>
    </w:r>
  </w:p>
  <w:p w14:paraId="73EE7B47" w14:textId="77777777" w:rsidR="00757315" w:rsidRDefault="007573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16798" w14:textId="77777777" w:rsidR="00757315" w:rsidRDefault="00757315">
    <w:pPr>
      <w:pStyle w:val="Header"/>
      <w:rPr>
        <w:sz w:val="20"/>
      </w:rPr>
    </w:pPr>
    <w:r>
      <w:rPr>
        <w:sz w:val="20"/>
      </w:rPr>
      <w:t>MTC Allocation Turns Diesel Buses into Vehicle for Air Quality</w:t>
    </w:r>
  </w:p>
  <w:p w14:paraId="356003E4" w14:textId="77777777" w:rsidR="00757315" w:rsidRDefault="00757315">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w:t>
    </w:r>
    <w:r>
      <w:rPr>
        <w:rStyle w:val="PageNumber"/>
        <w:sz w:val="20"/>
      </w:rPr>
      <w:fldChar w:fldCharType="end"/>
    </w:r>
  </w:p>
  <w:p w14:paraId="3F821B38" w14:textId="77777777" w:rsidR="00757315" w:rsidRDefault="00757315">
    <w:pPr>
      <w:pStyle w:val="Header"/>
      <w:rPr>
        <w:sz w:val="20"/>
      </w:rPr>
    </w:pPr>
  </w:p>
  <w:p w14:paraId="7D5B0191" w14:textId="77777777" w:rsidR="00757315" w:rsidRDefault="00757315">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CB442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2"/>
    <w:multiLevelType w:val="singleLevel"/>
    <w:tmpl w:val="00010409"/>
    <w:lvl w:ilvl="0">
      <w:start w:val="320"/>
      <w:numFmt w:val="bullet"/>
      <w:lvlText w:val=""/>
      <w:lvlJc w:val="left"/>
      <w:pPr>
        <w:tabs>
          <w:tab w:val="num" w:pos="360"/>
        </w:tabs>
        <w:ind w:left="360" w:hanging="360"/>
      </w:pPr>
      <w:rPr>
        <w:rFonts w:ascii="Symbol" w:hAnsi="Symbol" w:hint="default"/>
      </w:rPr>
    </w:lvl>
  </w:abstractNum>
  <w:abstractNum w:abstractNumId="3" w15:restartNumberingAfterBreak="0">
    <w:nsid w:val="625654DB"/>
    <w:multiLevelType w:val="hybridMultilevel"/>
    <w:tmpl w:val="4CF6D47E"/>
    <w:lvl w:ilvl="0" w:tplc="7AC2BFF4">
      <w:start w:val="1"/>
      <w:numFmt w:val="bullet"/>
      <w:lvlText w:val=""/>
      <w:lvlJc w:val="left"/>
      <w:pPr>
        <w:tabs>
          <w:tab w:val="num" w:pos="780"/>
        </w:tabs>
        <w:ind w:left="780" w:hanging="360"/>
      </w:pPr>
      <w:rPr>
        <w:rFonts w:ascii="Symbol" w:hAnsi="Symbol" w:hint="default"/>
      </w:rPr>
    </w:lvl>
    <w:lvl w:ilvl="1" w:tplc="A95467CA" w:tentative="1">
      <w:start w:val="1"/>
      <w:numFmt w:val="bullet"/>
      <w:lvlText w:val="o"/>
      <w:lvlJc w:val="left"/>
      <w:pPr>
        <w:tabs>
          <w:tab w:val="num" w:pos="1500"/>
        </w:tabs>
        <w:ind w:left="1500" w:hanging="360"/>
      </w:pPr>
      <w:rPr>
        <w:rFonts w:ascii="Courier New" w:hAnsi="Courier New" w:hint="default"/>
      </w:rPr>
    </w:lvl>
    <w:lvl w:ilvl="2" w:tplc="064CFEFE" w:tentative="1">
      <w:start w:val="1"/>
      <w:numFmt w:val="bullet"/>
      <w:lvlText w:val=""/>
      <w:lvlJc w:val="left"/>
      <w:pPr>
        <w:tabs>
          <w:tab w:val="num" w:pos="2220"/>
        </w:tabs>
        <w:ind w:left="2220" w:hanging="360"/>
      </w:pPr>
      <w:rPr>
        <w:rFonts w:ascii="Wingdings" w:hAnsi="Wingdings" w:hint="default"/>
      </w:rPr>
    </w:lvl>
    <w:lvl w:ilvl="3" w:tplc="E202F678" w:tentative="1">
      <w:start w:val="1"/>
      <w:numFmt w:val="bullet"/>
      <w:lvlText w:val=""/>
      <w:lvlJc w:val="left"/>
      <w:pPr>
        <w:tabs>
          <w:tab w:val="num" w:pos="2940"/>
        </w:tabs>
        <w:ind w:left="2940" w:hanging="360"/>
      </w:pPr>
      <w:rPr>
        <w:rFonts w:ascii="Symbol" w:hAnsi="Symbol" w:hint="default"/>
      </w:rPr>
    </w:lvl>
    <w:lvl w:ilvl="4" w:tplc="19E6E3F0" w:tentative="1">
      <w:start w:val="1"/>
      <w:numFmt w:val="bullet"/>
      <w:lvlText w:val="o"/>
      <w:lvlJc w:val="left"/>
      <w:pPr>
        <w:tabs>
          <w:tab w:val="num" w:pos="3660"/>
        </w:tabs>
        <w:ind w:left="3660" w:hanging="360"/>
      </w:pPr>
      <w:rPr>
        <w:rFonts w:ascii="Courier New" w:hAnsi="Courier New" w:hint="default"/>
      </w:rPr>
    </w:lvl>
    <w:lvl w:ilvl="5" w:tplc="17EC03AC" w:tentative="1">
      <w:start w:val="1"/>
      <w:numFmt w:val="bullet"/>
      <w:lvlText w:val=""/>
      <w:lvlJc w:val="left"/>
      <w:pPr>
        <w:tabs>
          <w:tab w:val="num" w:pos="4380"/>
        </w:tabs>
        <w:ind w:left="4380" w:hanging="360"/>
      </w:pPr>
      <w:rPr>
        <w:rFonts w:ascii="Wingdings" w:hAnsi="Wingdings" w:hint="default"/>
      </w:rPr>
    </w:lvl>
    <w:lvl w:ilvl="6" w:tplc="2B9A035E" w:tentative="1">
      <w:start w:val="1"/>
      <w:numFmt w:val="bullet"/>
      <w:lvlText w:val=""/>
      <w:lvlJc w:val="left"/>
      <w:pPr>
        <w:tabs>
          <w:tab w:val="num" w:pos="5100"/>
        </w:tabs>
        <w:ind w:left="5100" w:hanging="360"/>
      </w:pPr>
      <w:rPr>
        <w:rFonts w:ascii="Symbol" w:hAnsi="Symbol" w:hint="default"/>
      </w:rPr>
    </w:lvl>
    <w:lvl w:ilvl="7" w:tplc="84B488E6" w:tentative="1">
      <w:start w:val="1"/>
      <w:numFmt w:val="bullet"/>
      <w:lvlText w:val="o"/>
      <w:lvlJc w:val="left"/>
      <w:pPr>
        <w:tabs>
          <w:tab w:val="num" w:pos="5820"/>
        </w:tabs>
        <w:ind w:left="5820" w:hanging="360"/>
      </w:pPr>
      <w:rPr>
        <w:rFonts w:ascii="Courier New" w:hAnsi="Courier New" w:hint="default"/>
      </w:rPr>
    </w:lvl>
    <w:lvl w:ilvl="8" w:tplc="6B8E8136"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6B0"/>
    <w:rsid w:val="000C54AA"/>
    <w:rsid w:val="001A5DE3"/>
    <w:rsid w:val="001C377A"/>
    <w:rsid w:val="001C4AD7"/>
    <w:rsid w:val="0021504E"/>
    <w:rsid w:val="0028610F"/>
    <w:rsid w:val="002A2A19"/>
    <w:rsid w:val="003A69E7"/>
    <w:rsid w:val="004518F7"/>
    <w:rsid w:val="004705E9"/>
    <w:rsid w:val="004955BC"/>
    <w:rsid w:val="005142A0"/>
    <w:rsid w:val="00587B6A"/>
    <w:rsid w:val="00592C9E"/>
    <w:rsid w:val="00600074"/>
    <w:rsid w:val="00621E0F"/>
    <w:rsid w:val="006223C6"/>
    <w:rsid w:val="00682761"/>
    <w:rsid w:val="00693367"/>
    <w:rsid w:val="00757315"/>
    <w:rsid w:val="007766B0"/>
    <w:rsid w:val="008436E1"/>
    <w:rsid w:val="008508A8"/>
    <w:rsid w:val="008578A3"/>
    <w:rsid w:val="00935693"/>
    <w:rsid w:val="00A11145"/>
    <w:rsid w:val="00A932EB"/>
    <w:rsid w:val="00B32709"/>
    <w:rsid w:val="00BD721E"/>
    <w:rsid w:val="00BE327D"/>
    <w:rsid w:val="00D24CA1"/>
    <w:rsid w:val="00D31B2F"/>
    <w:rsid w:val="00EE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623272"/>
  <w15:chartTrackingRefBased/>
  <w15:docId w15:val="{850657CA-42D7-44FD-A019-A6F1619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jc w:val="center"/>
      <w:outlineLvl w:val="0"/>
    </w:pPr>
    <w:rPr>
      <w:rFonts w:ascii="Palatino" w:hAnsi="Palatino"/>
      <w:b/>
      <w:sz w:val="28"/>
    </w:rPr>
  </w:style>
  <w:style w:type="paragraph" w:styleId="Heading2">
    <w:name w:val="heading 2"/>
    <w:basedOn w:val="Normal"/>
    <w:next w:val="Normal"/>
    <w:qFormat/>
    <w:pPr>
      <w:keepNext/>
      <w:tabs>
        <w:tab w:val="left" w:pos="4320"/>
        <w:tab w:val="left" w:pos="5400"/>
        <w:tab w:val="left" w:pos="6480"/>
        <w:tab w:val="left" w:pos="7920"/>
      </w:tabs>
      <w:outlineLvl w:val="1"/>
    </w:pPr>
    <w:rPr>
      <w:rFonts w:ascii="Palatino" w:hAnsi="Palatino"/>
      <w:b/>
    </w:rPr>
  </w:style>
  <w:style w:type="paragraph" w:styleId="Heading3">
    <w:name w:val="heading 3"/>
    <w:basedOn w:val="Normal"/>
    <w:next w:val="Normal"/>
    <w:qFormat/>
    <w:pPr>
      <w:keepNext/>
      <w:outlineLvl w:val="2"/>
    </w:pPr>
    <w:rPr>
      <w:b/>
      <w:i/>
      <w:sz w:val="40"/>
    </w:rPr>
  </w:style>
  <w:style w:type="paragraph" w:styleId="Heading4">
    <w:name w:val="heading 4"/>
    <w:basedOn w:val="Normal"/>
    <w:next w:val="Normal"/>
    <w:qFormat/>
    <w:pPr>
      <w:keepNext/>
      <w:jc w:val="center"/>
      <w:outlineLvl w:val="3"/>
    </w:pPr>
    <w:rPr>
      <w:b/>
      <w:i/>
      <w:sz w:val="26"/>
    </w:rPr>
  </w:style>
  <w:style w:type="paragraph" w:styleId="Heading5">
    <w:name w:val="heading 5"/>
    <w:basedOn w:val="Normal"/>
    <w:next w:val="Normal"/>
    <w:qFormat/>
    <w:pPr>
      <w:keepNext/>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b/>
    </w:rPr>
  </w:style>
  <w:style w:type="paragraph" w:styleId="BodyText">
    <w:name w:val="Body Text"/>
    <w:basedOn w:val="Normal"/>
    <w:semiHidden/>
    <w:pPr>
      <w:tabs>
        <w:tab w:val="left" w:pos="4320"/>
        <w:tab w:val="left" w:pos="6480"/>
        <w:tab w:val="left" w:pos="7920"/>
      </w:tabs>
    </w:pPr>
    <w:rPr>
      <w:rFonts w:ascii="Palatino" w:hAnsi="Palatino"/>
      <w:b/>
    </w:rPr>
  </w:style>
  <w:style w:type="paragraph" w:styleId="BodyText2">
    <w:name w:val="Body Text 2"/>
    <w:basedOn w:val="Normal"/>
    <w:semiHidden/>
    <w:pPr>
      <w:spacing w:line="480" w:lineRule="auto"/>
      <w:jc w:val="center"/>
    </w:pPr>
    <w:rPr>
      <w:rFonts w:ascii="Palatino" w:hAnsi="Palatino"/>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Normal1">
    <w:name w:val="Normal1"/>
    <w:basedOn w:val="Normal"/>
    <w:rPr>
      <w:rFonts w:ascii="New York" w:eastAsia="Times New Roman" w:hAnsi="New York"/>
    </w:rPr>
  </w:style>
  <w:style w:type="paragraph" w:styleId="BodyTextIndent">
    <w:name w:val="Body Text Indent"/>
    <w:basedOn w:val="Normal"/>
    <w:semiHidden/>
    <w:pPr>
      <w:spacing w:line="480" w:lineRule="auto"/>
      <w:ind w:left="60"/>
    </w:pPr>
  </w:style>
  <w:style w:type="paragraph" w:styleId="NormalWeb">
    <w:name w:val="Normal (Web)"/>
    <w:basedOn w:val="Normal"/>
    <w:uiPriority w:val="99"/>
    <w:semiHidden/>
    <w:unhideWhenUsed/>
    <w:rsid w:val="0060007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8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2445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MTC</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Marj Blackwell</dc:creator>
  <cp:keywords/>
  <cp:lastModifiedBy>Julie Teglovic</cp:lastModifiedBy>
  <cp:revision>2</cp:revision>
  <cp:lastPrinted>2005-10-05T00:12:00Z</cp:lastPrinted>
  <dcterms:created xsi:type="dcterms:W3CDTF">2016-07-29T21:05:00Z</dcterms:created>
  <dcterms:modified xsi:type="dcterms:W3CDTF">2016-07-29T21:05:00Z</dcterms:modified>
</cp:coreProperties>
</file>