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7F91" w14:textId="77777777" w:rsidR="000F581A" w:rsidRPr="00F63846" w:rsidRDefault="000F581A" w:rsidP="000F581A">
      <w:pPr>
        <w:spacing w:after="0"/>
        <w:rPr>
          <w:lang w:val="fr-CA"/>
        </w:rPr>
      </w:pPr>
      <w:commentRangeStart w:id="0"/>
      <w:r w:rsidRPr="00F63846">
        <w:rPr>
          <w:lang w:val="fr-CA"/>
        </w:rPr>
        <w:t>[DATE]</w:t>
      </w:r>
      <w:commentRangeEnd w:id="0"/>
      <w:r w:rsidR="00C83221">
        <w:rPr>
          <w:rStyle w:val="CommentReference"/>
          <w:rFonts w:ascii="Calibri" w:eastAsiaTheme="minorHAnsi" w:hAnsi="Calibri" w:cs="Calibri"/>
          <w14:ligatures w14:val="standardContextual"/>
        </w:rPr>
        <w:commentReference w:id="0"/>
      </w:r>
    </w:p>
    <w:p w14:paraId="7702B291" w14:textId="77777777" w:rsidR="000F581A" w:rsidRPr="00F63846" w:rsidRDefault="000F581A" w:rsidP="000F581A">
      <w:pPr>
        <w:spacing w:after="0"/>
        <w:rPr>
          <w:lang w:val="fr-CA"/>
        </w:rPr>
      </w:pPr>
    </w:p>
    <w:p w14:paraId="3D895D29" w14:textId="77777777" w:rsidR="000F581A" w:rsidRPr="00F63846" w:rsidRDefault="000F581A" w:rsidP="000F581A">
      <w:pPr>
        <w:spacing w:after="0"/>
        <w:rPr>
          <w:lang w:val="fr-CA"/>
        </w:rPr>
      </w:pPr>
      <w:r w:rsidRPr="00F63846">
        <w:rPr>
          <w:lang w:val="fr-CA"/>
        </w:rPr>
        <w:t>Metropolitan Transportation Commission (MTC)</w:t>
      </w:r>
    </w:p>
    <w:p w14:paraId="59C7CABB" w14:textId="77777777" w:rsidR="000F581A" w:rsidRPr="002F76DD" w:rsidRDefault="000F581A" w:rsidP="000F581A">
      <w:pPr>
        <w:spacing w:after="0"/>
      </w:pPr>
      <w:r w:rsidRPr="002F76DD">
        <w:t>Bay Area Metro Center</w:t>
      </w:r>
    </w:p>
    <w:p w14:paraId="60B943CB" w14:textId="31B42090" w:rsidR="000F581A" w:rsidRPr="002F76DD" w:rsidRDefault="000F581A" w:rsidP="000F581A">
      <w:pPr>
        <w:spacing w:after="0"/>
      </w:pPr>
      <w:r w:rsidRPr="002F76DD">
        <w:t>375 Beale Street</w:t>
      </w:r>
      <w:r w:rsidR="00F63846">
        <w:t>, Suite 800</w:t>
      </w:r>
    </w:p>
    <w:p w14:paraId="3E6AB71C" w14:textId="77777777" w:rsidR="000F581A" w:rsidRPr="002F76DD" w:rsidRDefault="000F581A" w:rsidP="000F581A">
      <w:pPr>
        <w:spacing w:after="0"/>
      </w:pPr>
      <w:r w:rsidRPr="002F76DD">
        <w:t>San Francisco, CA 94105</w:t>
      </w:r>
    </w:p>
    <w:p w14:paraId="1EFF8A63" w14:textId="77777777" w:rsidR="000F581A" w:rsidRPr="002F76DD" w:rsidRDefault="000F581A" w:rsidP="000F581A">
      <w:pPr>
        <w:spacing w:after="0"/>
      </w:pPr>
    </w:p>
    <w:p w14:paraId="4C6CA9F1" w14:textId="77777777" w:rsidR="000F581A" w:rsidRPr="002F76DD" w:rsidRDefault="000F581A" w:rsidP="000F581A">
      <w:pPr>
        <w:tabs>
          <w:tab w:val="left" w:pos="3225"/>
        </w:tabs>
        <w:spacing w:after="0"/>
      </w:pPr>
      <w:r w:rsidRPr="002F76DD">
        <w:t>Re: Commitment for TOC Compliance for [NAME OF TRANSIT EXTENSION PROJECT(S)]</w:t>
      </w:r>
    </w:p>
    <w:p w14:paraId="7FC0624E" w14:textId="77777777" w:rsidR="000F581A" w:rsidRPr="002F76DD" w:rsidRDefault="000F581A" w:rsidP="000F581A">
      <w:pPr>
        <w:tabs>
          <w:tab w:val="left" w:pos="3225"/>
        </w:tabs>
        <w:spacing w:after="0"/>
      </w:pPr>
    </w:p>
    <w:p w14:paraId="12884FC9" w14:textId="77777777" w:rsidR="000F581A" w:rsidRPr="002F76DD" w:rsidRDefault="000F581A" w:rsidP="000F581A">
      <w:pPr>
        <w:tabs>
          <w:tab w:val="left" w:pos="3225"/>
        </w:tabs>
        <w:spacing w:after="0"/>
      </w:pPr>
      <w:r w:rsidRPr="002F76DD">
        <w:t>Dear [MTC CHAIR] and Commissioners,</w:t>
      </w:r>
    </w:p>
    <w:p w14:paraId="126998D4" w14:textId="77777777" w:rsidR="000F581A" w:rsidRPr="002F76DD" w:rsidRDefault="000F581A" w:rsidP="000F581A">
      <w:pPr>
        <w:tabs>
          <w:tab w:val="left" w:pos="3225"/>
        </w:tabs>
        <w:spacing w:after="0"/>
      </w:pPr>
    </w:p>
    <w:p w14:paraId="7818C970" w14:textId="43942E1C" w:rsidR="000F581A" w:rsidRPr="002F76DD" w:rsidRDefault="000F581A" w:rsidP="006273E1">
      <w:pPr>
        <w:tabs>
          <w:tab w:val="left" w:pos="3225"/>
        </w:tabs>
        <w:spacing w:after="0"/>
      </w:pPr>
      <w:r w:rsidRPr="002F76DD">
        <w:t xml:space="preserve">The [NAME OF JURISDICTION] would like to thank MTC staff for recommending the allocation of [DOLLAR AMOUNT] </w:t>
      </w:r>
      <w:r w:rsidRPr="002F76DD">
        <w:rPr>
          <w:rFonts w:eastAsia="Arial"/>
          <w:bCs/>
          <w:iCs/>
          <w:color w:val="131313"/>
          <w:szCs w:val="24"/>
        </w:rPr>
        <w:t xml:space="preserve">from [NAME OF FUND SOURCE] </w:t>
      </w:r>
      <w:r w:rsidRPr="002F76DD">
        <w:t xml:space="preserve">to the [NAME OF TRANSIT EXTENSION PROJECT(S)]. </w:t>
      </w:r>
      <w:r w:rsidR="00B4021F">
        <w:t xml:space="preserve">The [NAME OR LOCATION OF FUTURE STOP OR STATION] </w:t>
      </w:r>
      <w:r w:rsidRPr="00B4021F">
        <w:rPr>
          <w:szCs w:val="24"/>
        </w:rPr>
        <w:t>of the [NAME OF TRANSIT EXTENSION</w:t>
      </w:r>
      <w:r w:rsidRPr="002F76DD">
        <w:rPr>
          <w:szCs w:val="24"/>
        </w:rPr>
        <w:t xml:space="preserve"> PROJECT] will </w:t>
      </w:r>
      <w:proofErr w:type="gramStart"/>
      <w:r w:rsidRPr="002F76DD">
        <w:rPr>
          <w:szCs w:val="24"/>
        </w:rPr>
        <w:t>be located in</w:t>
      </w:r>
      <w:proofErr w:type="gramEnd"/>
      <w:r w:rsidRPr="002F76DD">
        <w:rPr>
          <w:szCs w:val="24"/>
        </w:rPr>
        <w:t xml:space="preserve"> [NAME OF JURISDICTION]. </w:t>
      </w:r>
    </w:p>
    <w:p w14:paraId="69F4D861" w14:textId="77777777" w:rsidR="000F581A" w:rsidRDefault="000F581A" w:rsidP="006273E1">
      <w:pPr>
        <w:tabs>
          <w:tab w:val="left" w:pos="3225"/>
        </w:tabs>
        <w:spacing w:after="0"/>
        <w:rPr>
          <w:szCs w:val="24"/>
        </w:rPr>
      </w:pPr>
    </w:p>
    <w:p w14:paraId="7CAB9B43" w14:textId="0080D4D5" w:rsidR="00F63846" w:rsidRDefault="00F63846" w:rsidP="006273E1">
      <w:pPr>
        <w:tabs>
          <w:tab w:val="left" w:pos="3225"/>
        </w:tabs>
        <w:spacing w:after="0"/>
        <w:rPr>
          <w:szCs w:val="24"/>
        </w:rPr>
      </w:pPr>
      <w:r>
        <w:rPr>
          <w:szCs w:val="24"/>
        </w:rPr>
        <w:t xml:space="preserve">MTC’s Transit Oriented Communities (TOC) Policy </w:t>
      </w:r>
      <w:r w:rsidRPr="002F76DD">
        <w:rPr>
          <w:szCs w:val="24"/>
        </w:rPr>
        <w:t>(</w:t>
      </w:r>
      <w:hyperlink r:id="rId9" w:history="1">
        <w:r w:rsidRPr="002F76DD">
          <w:rPr>
            <w:rStyle w:val="Hyperlink"/>
            <w:szCs w:val="24"/>
          </w:rPr>
          <w:t>MTC Resolution 4530</w:t>
        </w:r>
      </w:hyperlink>
      <w:r w:rsidRPr="002F76DD">
        <w:rPr>
          <w:szCs w:val="24"/>
        </w:rPr>
        <w:t>)</w:t>
      </w:r>
      <w:r>
        <w:rPr>
          <w:szCs w:val="24"/>
        </w:rPr>
        <w:t xml:space="preserve"> conditions regional discretionary funding for transit extension projects on compliance with standards that ensure that transit investments are supported by appropriate land use, housing, and transportation policies that implement the vision of Plan Bay Area 2050. Specifically, the TOC Policy establishes standards for the ½</w:t>
      </w:r>
      <w:r w:rsidR="00474863">
        <w:rPr>
          <w:szCs w:val="24"/>
        </w:rPr>
        <w:t>-</w:t>
      </w:r>
      <w:r>
        <w:rPr>
          <w:szCs w:val="24"/>
        </w:rPr>
        <w:t xml:space="preserve">mile area around fixed-guideway stations or stops related to density, housing affordability, parking, and station access/circulation. </w:t>
      </w:r>
    </w:p>
    <w:p w14:paraId="33676B2E" w14:textId="77777777" w:rsidR="00F63846" w:rsidRDefault="00F63846" w:rsidP="006273E1">
      <w:pPr>
        <w:tabs>
          <w:tab w:val="left" w:pos="3225"/>
        </w:tabs>
        <w:spacing w:after="0"/>
        <w:rPr>
          <w:szCs w:val="24"/>
        </w:rPr>
      </w:pPr>
    </w:p>
    <w:p w14:paraId="5A0CBA4D" w14:textId="4595CA7D" w:rsidR="00CC426F" w:rsidRDefault="002937C7" w:rsidP="000B4478">
      <w:pPr>
        <w:tabs>
          <w:tab w:val="left" w:pos="3225"/>
        </w:tabs>
        <w:spacing w:after="0"/>
        <w:rPr>
          <w:szCs w:val="24"/>
        </w:rPr>
      </w:pPr>
      <w:commentRangeStart w:id="1"/>
      <w:r>
        <w:rPr>
          <w:szCs w:val="24"/>
        </w:rPr>
        <w:t xml:space="preserve">[Include overview of how well the </w:t>
      </w:r>
      <w:r w:rsidR="0047068C">
        <w:rPr>
          <w:szCs w:val="24"/>
        </w:rPr>
        <w:t xml:space="preserve">stop or </w:t>
      </w:r>
      <w:r>
        <w:rPr>
          <w:szCs w:val="24"/>
        </w:rPr>
        <w:t xml:space="preserve">station area currently complies with each of the four components of the TOC Policy: density, housing affordability, parking, and station access/circulation. If the jurisdiction asserts that the </w:t>
      </w:r>
      <w:r w:rsidR="0047068C">
        <w:rPr>
          <w:szCs w:val="24"/>
        </w:rPr>
        <w:t xml:space="preserve">stop or </w:t>
      </w:r>
      <w:r>
        <w:rPr>
          <w:szCs w:val="24"/>
        </w:rPr>
        <w:t xml:space="preserve">station area already complies with a component, provide </w:t>
      </w:r>
      <w:r w:rsidR="00C832D2">
        <w:rPr>
          <w:szCs w:val="24"/>
        </w:rPr>
        <w:t xml:space="preserve">more </w:t>
      </w:r>
      <w:r>
        <w:rPr>
          <w:szCs w:val="24"/>
        </w:rPr>
        <w:t>detailed</w:t>
      </w:r>
      <w:r w:rsidR="00C832D2">
        <w:rPr>
          <w:szCs w:val="24"/>
        </w:rPr>
        <w:t xml:space="preserve"> information</w:t>
      </w:r>
      <w:r>
        <w:rPr>
          <w:szCs w:val="24"/>
        </w:rPr>
        <w:t>.]</w:t>
      </w:r>
      <w:commentRangeEnd w:id="1"/>
      <w:r w:rsidR="001F2F6A">
        <w:rPr>
          <w:rStyle w:val="CommentReference"/>
          <w:rFonts w:ascii="Calibri" w:eastAsiaTheme="minorHAnsi" w:hAnsi="Calibri" w:cs="Calibri"/>
          <w14:ligatures w14:val="standardContextual"/>
        </w:rPr>
        <w:commentReference w:id="1"/>
      </w:r>
    </w:p>
    <w:p w14:paraId="42F169DB" w14:textId="77777777" w:rsidR="002937C7" w:rsidRDefault="002937C7" w:rsidP="000B4478">
      <w:pPr>
        <w:tabs>
          <w:tab w:val="left" w:pos="3225"/>
        </w:tabs>
        <w:spacing w:after="0"/>
        <w:rPr>
          <w:szCs w:val="24"/>
        </w:rPr>
      </w:pPr>
    </w:p>
    <w:p w14:paraId="711DE377" w14:textId="1AA6C140" w:rsidR="000F581A" w:rsidRPr="002F76DD" w:rsidRDefault="000F581A" w:rsidP="000F581A">
      <w:pPr>
        <w:tabs>
          <w:tab w:val="left" w:pos="3225"/>
        </w:tabs>
        <w:spacing w:after="160"/>
        <w:rPr>
          <w:szCs w:val="24"/>
        </w:rPr>
      </w:pPr>
      <w:r w:rsidRPr="002F76DD">
        <w:rPr>
          <w:szCs w:val="24"/>
        </w:rPr>
        <w:t xml:space="preserve">Consistent with the requirements of MTC’s TOC Policy, the [NAME OF JURISDICTION] commits to taking specific steps toward achieving compliance with the TOC Policy by 2026 for the </w:t>
      </w:r>
      <w:r w:rsidR="002F76DD">
        <w:rPr>
          <w:szCs w:val="24"/>
        </w:rPr>
        <w:t>[NAME OF FUTURE STOP OR STATION</w:t>
      </w:r>
      <w:r w:rsidRPr="002F76DD">
        <w:rPr>
          <w:szCs w:val="24"/>
        </w:rPr>
        <w:t xml:space="preserve">] </w:t>
      </w:r>
      <w:proofErr w:type="gramStart"/>
      <w:r w:rsidRPr="002F76DD">
        <w:rPr>
          <w:szCs w:val="24"/>
        </w:rPr>
        <w:t>in order for</w:t>
      </w:r>
      <w:proofErr w:type="gramEnd"/>
      <w:r w:rsidRPr="002F76DD">
        <w:rPr>
          <w:szCs w:val="24"/>
        </w:rPr>
        <w:t xml:space="preserve"> the project to receive </w:t>
      </w:r>
      <w:r w:rsidRPr="002F76DD">
        <w:rPr>
          <w:rFonts w:eastAsia="Arial"/>
          <w:bCs/>
          <w:iCs/>
          <w:color w:val="131313"/>
          <w:szCs w:val="24"/>
        </w:rPr>
        <w:t>regional discretionary funding from MTC</w:t>
      </w:r>
      <w:r w:rsidRPr="002F76DD">
        <w:rPr>
          <w:szCs w:val="24"/>
        </w:rPr>
        <w:t>. The [NAME OF JURISDICTION] commits to taking the following actions to comply with the four TOC Policy areas:</w:t>
      </w:r>
    </w:p>
    <w:p w14:paraId="22AC5175" w14:textId="5D75F89E" w:rsidR="000F581A" w:rsidRPr="002F76DD" w:rsidRDefault="000F581A" w:rsidP="000F581A">
      <w:pPr>
        <w:pStyle w:val="ListParagraph"/>
        <w:numPr>
          <w:ilvl w:val="0"/>
          <w:numId w:val="2"/>
        </w:numPr>
        <w:tabs>
          <w:tab w:val="left" w:pos="3225"/>
        </w:tabs>
        <w:spacing w:after="160"/>
        <w:contextualSpacing w:val="0"/>
        <w:rPr>
          <w:szCs w:val="24"/>
        </w:rPr>
      </w:pPr>
      <w:commentRangeStart w:id="2"/>
      <w:r w:rsidRPr="002F76DD">
        <w:rPr>
          <w:rFonts w:eastAsia="Arial"/>
          <w:color w:val="131313"/>
          <w:szCs w:val="24"/>
        </w:rPr>
        <w:t xml:space="preserve">[SPECIFIC ACTION] to comply with the TOC Policy’s density requirements by </w:t>
      </w:r>
      <w:r w:rsidR="00574EFF">
        <w:rPr>
          <w:rFonts w:eastAsia="Arial"/>
          <w:color w:val="131313"/>
          <w:szCs w:val="24"/>
        </w:rPr>
        <w:t xml:space="preserve">the </w:t>
      </w:r>
      <w:r w:rsidRPr="002F76DD">
        <w:rPr>
          <w:rFonts w:eastAsia="Arial"/>
          <w:color w:val="131313"/>
          <w:szCs w:val="24"/>
        </w:rPr>
        <w:t>2026</w:t>
      </w:r>
      <w:r w:rsidR="00574EFF">
        <w:rPr>
          <w:rFonts w:eastAsia="Arial"/>
          <w:color w:val="131313"/>
          <w:szCs w:val="24"/>
        </w:rPr>
        <w:t xml:space="preserve"> deadline</w:t>
      </w:r>
      <w:r w:rsidRPr="002F76DD">
        <w:rPr>
          <w:rFonts w:eastAsia="Arial"/>
          <w:color w:val="131313"/>
          <w:szCs w:val="24"/>
        </w:rPr>
        <w:t>.</w:t>
      </w:r>
      <w:commentRangeEnd w:id="2"/>
      <w:r w:rsidR="001F2F6A">
        <w:rPr>
          <w:rStyle w:val="CommentReference"/>
          <w:rFonts w:ascii="Calibri" w:eastAsiaTheme="minorHAnsi" w:hAnsi="Calibri" w:cs="Calibri"/>
          <w14:ligatures w14:val="standardContextual"/>
        </w:rPr>
        <w:commentReference w:id="2"/>
      </w:r>
    </w:p>
    <w:p w14:paraId="47BDA77B" w14:textId="5D617AF1" w:rsidR="000F581A" w:rsidRPr="002F76DD" w:rsidRDefault="000F581A" w:rsidP="000F581A">
      <w:pPr>
        <w:pStyle w:val="ListParagraph"/>
        <w:numPr>
          <w:ilvl w:val="0"/>
          <w:numId w:val="2"/>
        </w:numPr>
        <w:tabs>
          <w:tab w:val="left" w:pos="3225"/>
        </w:tabs>
        <w:spacing w:after="160"/>
        <w:contextualSpacing w:val="0"/>
        <w:rPr>
          <w:szCs w:val="24"/>
        </w:rPr>
      </w:pPr>
      <w:r w:rsidRPr="002F76DD">
        <w:rPr>
          <w:rFonts w:eastAsia="Arial"/>
          <w:color w:val="131313"/>
          <w:szCs w:val="24"/>
        </w:rPr>
        <w:t xml:space="preserve">[SPECIFIC ACTION] to comply with the TOC Policy’s housing affordability requirements by </w:t>
      </w:r>
      <w:r w:rsidR="00574EFF">
        <w:rPr>
          <w:rFonts w:eastAsia="Arial"/>
          <w:color w:val="131313"/>
          <w:szCs w:val="24"/>
        </w:rPr>
        <w:t xml:space="preserve">the </w:t>
      </w:r>
      <w:r w:rsidRPr="002F76DD">
        <w:rPr>
          <w:rFonts w:eastAsia="Arial"/>
          <w:color w:val="131313"/>
          <w:szCs w:val="24"/>
        </w:rPr>
        <w:t>2026</w:t>
      </w:r>
      <w:r w:rsidR="00574EFF">
        <w:rPr>
          <w:rFonts w:eastAsia="Arial"/>
          <w:color w:val="131313"/>
          <w:szCs w:val="24"/>
        </w:rPr>
        <w:t xml:space="preserve"> deadline</w:t>
      </w:r>
      <w:r w:rsidRPr="002F76DD">
        <w:rPr>
          <w:rFonts w:eastAsia="Arial"/>
          <w:color w:val="131313"/>
          <w:szCs w:val="24"/>
        </w:rPr>
        <w:t>.</w:t>
      </w:r>
    </w:p>
    <w:p w14:paraId="51CEF971" w14:textId="1A6F4E5E" w:rsidR="000F581A" w:rsidRPr="002F76DD" w:rsidRDefault="000F581A" w:rsidP="000F581A">
      <w:pPr>
        <w:pStyle w:val="ListParagraph"/>
        <w:numPr>
          <w:ilvl w:val="0"/>
          <w:numId w:val="2"/>
        </w:numPr>
        <w:tabs>
          <w:tab w:val="left" w:pos="3225"/>
        </w:tabs>
        <w:spacing w:after="160"/>
        <w:contextualSpacing w:val="0"/>
        <w:rPr>
          <w:szCs w:val="24"/>
        </w:rPr>
      </w:pPr>
      <w:r w:rsidRPr="002F76DD">
        <w:rPr>
          <w:rFonts w:eastAsia="Arial"/>
          <w:color w:val="131313"/>
          <w:szCs w:val="24"/>
        </w:rPr>
        <w:t xml:space="preserve">[SPECIFIC ACTION] to comply with the TOC Policy’s parking requirements by </w:t>
      </w:r>
      <w:r w:rsidR="00574EFF">
        <w:rPr>
          <w:rFonts w:eastAsia="Arial"/>
          <w:color w:val="131313"/>
          <w:szCs w:val="24"/>
        </w:rPr>
        <w:t xml:space="preserve">the </w:t>
      </w:r>
      <w:r w:rsidR="00574EFF" w:rsidRPr="002F76DD">
        <w:rPr>
          <w:rFonts w:eastAsia="Arial"/>
          <w:color w:val="131313"/>
          <w:szCs w:val="24"/>
        </w:rPr>
        <w:t>2026</w:t>
      </w:r>
      <w:r w:rsidR="00574EFF">
        <w:rPr>
          <w:rFonts w:eastAsia="Arial"/>
          <w:color w:val="131313"/>
          <w:szCs w:val="24"/>
        </w:rPr>
        <w:t xml:space="preserve"> deadline</w:t>
      </w:r>
      <w:r w:rsidRPr="002F76DD">
        <w:rPr>
          <w:rFonts w:eastAsia="Arial"/>
          <w:color w:val="131313"/>
          <w:szCs w:val="24"/>
        </w:rPr>
        <w:t>.</w:t>
      </w:r>
    </w:p>
    <w:p w14:paraId="0C444323" w14:textId="0FEC1510" w:rsidR="000F581A" w:rsidRPr="002F76DD" w:rsidRDefault="000F581A" w:rsidP="000F581A">
      <w:pPr>
        <w:pStyle w:val="ListParagraph"/>
        <w:numPr>
          <w:ilvl w:val="0"/>
          <w:numId w:val="2"/>
        </w:numPr>
        <w:tabs>
          <w:tab w:val="left" w:pos="3225"/>
        </w:tabs>
        <w:spacing w:after="0"/>
        <w:rPr>
          <w:szCs w:val="24"/>
        </w:rPr>
      </w:pPr>
      <w:r w:rsidRPr="002F76DD">
        <w:rPr>
          <w:rFonts w:eastAsia="Arial"/>
          <w:color w:val="131313"/>
          <w:szCs w:val="24"/>
        </w:rPr>
        <w:t xml:space="preserve">[SPECIFIC ACTION] to comply with the TOC Policy’s access/circulation requirements by </w:t>
      </w:r>
      <w:r w:rsidR="00574EFF">
        <w:rPr>
          <w:rFonts w:eastAsia="Arial"/>
          <w:color w:val="131313"/>
          <w:szCs w:val="24"/>
        </w:rPr>
        <w:t xml:space="preserve">the </w:t>
      </w:r>
      <w:r w:rsidR="00574EFF" w:rsidRPr="002F76DD">
        <w:rPr>
          <w:rFonts w:eastAsia="Arial"/>
          <w:color w:val="131313"/>
          <w:szCs w:val="24"/>
        </w:rPr>
        <w:t>2026</w:t>
      </w:r>
      <w:r w:rsidR="00574EFF">
        <w:rPr>
          <w:rFonts w:eastAsia="Arial"/>
          <w:color w:val="131313"/>
          <w:szCs w:val="24"/>
        </w:rPr>
        <w:t xml:space="preserve"> deadline</w:t>
      </w:r>
      <w:r w:rsidRPr="002F76DD">
        <w:rPr>
          <w:rFonts w:eastAsia="Arial"/>
          <w:color w:val="131313"/>
          <w:szCs w:val="24"/>
        </w:rPr>
        <w:t>.</w:t>
      </w:r>
    </w:p>
    <w:p w14:paraId="31D05C73" w14:textId="77777777" w:rsidR="000F581A" w:rsidRDefault="000F581A" w:rsidP="000F581A">
      <w:pPr>
        <w:tabs>
          <w:tab w:val="left" w:pos="3225"/>
        </w:tabs>
        <w:spacing w:after="0"/>
      </w:pPr>
    </w:p>
    <w:p w14:paraId="16EAFC9D" w14:textId="672F3AD2" w:rsidR="000F581A" w:rsidRPr="002F76DD" w:rsidRDefault="000F581A" w:rsidP="000F581A">
      <w:pPr>
        <w:tabs>
          <w:tab w:val="left" w:pos="3225"/>
        </w:tabs>
        <w:spacing w:after="0"/>
      </w:pPr>
      <w:r w:rsidRPr="002F76DD">
        <w:t>Sincerely,</w:t>
      </w:r>
    </w:p>
    <w:p w14:paraId="4FE9BE45" w14:textId="77777777" w:rsidR="000F581A" w:rsidRDefault="000F581A" w:rsidP="000F581A">
      <w:pPr>
        <w:tabs>
          <w:tab w:val="left" w:pos="3225"/>
        </w:tabs>
        <w:spacing w:after="0"/>
      </w:pPr>
    </w:p>
    <w:p w14:paraId="36D390F0" w14:textId="77777777" w:rsidR="00474863" w:rsidRDefault="00474863" w:rsidP="000F581A">
      <w:pPr>
        <w:tabs>
          <w:tab w:val="left" w:pos="3225"/>
        </w:tabs>
        <w:spacing w:after="0"/>
      </w:pPr>
    </w:p>
    <w:p w14:paraId="64CC42C9" w14:textId="77777777" w:rsidR="00474863" w:rsidRPr="002F76DD" w:rsidRDefault="00474863" w:rsidP="000F581A">
      <w:pPr>
        <w:tabs>
          <w:tab w:val="left" w:pos="3225"/>
        </w:tabs>
        <w:spacing w:after="0"/>
      </w:pPr>
    </w:p>
    <w:p w14:paraId="029774A5" w14:textId="4FDD76C6" w:rsidR="00F47F87" w:rsidRPr="002F76DD" w:rsidRDefault="000F581A" w:rsidP="001F2F6A">
      <w:pPr>
        <w:tabs>
          <w:tab w:val="left" w:pos="3225"/>
        </w:tabs>
        <w:spacing w:after="0"/>
      </w:pPr>
      <w:r w:rsidRPr="002F76DD">
        <w:t>[MAYOR OR CITY MANAGER]</w:t>
      </w:r>
    </w:p>
    <w:p w14:paraId="20877215" w14:textId="77777777" w:rsidR="001F2F6A" w:rsidRDefault="001F2F6A">
      <w:pPr>
        <w:overflowPunct/>
        <w:autoSpaceDE/>
        <w:autoSpaceDN/>
        <w:adjustRightInd/>
        <w:spacing w:after="160" w:line="259" w:lineRule="auto"/>
        <w:textAlignment w:val="auto"/>
        <w:rPr>
          <w:rFonts w:ascii="Arial" w:eastAsia="Arial" w:hAnsi="Arial" w:cs="Arial"/>
          <w:b/>
          <w:i/>
          <w:color w:val="131313"/>
        </w:rPr>
      </w:pPr>
      <w:r>
        <w:rPr>
          <w:rFonts w:ascii="Arial" w:eastAsia="Arial" w:hAnsi="Arial" w:cs="Arial"/>
          <w:b/>
          <w:i/>
          <w:color w:val="131313"/>
        </w:rPr>
        <w:br w:type="page"/>
      </w:r>
    </w:p>
    <w:p w14:paraId="2F4C0DA5" w14:textId="68A1C174" w:rsidR="00F47F87" w:rsidRPr="002F76DD" w:rsidRDefault="00F47F87" w:rsidP="00F47F87">
      <w:pPr>
        <w:widowControl w:val="0"/>
        <w:spacing w:before="332" w:after="0"/>
        <w:ind w:left="231" w:right="174"/>
        <w:jc w:val="center"/>
        <w:rPr>
          <w:rFonts w:ascii="Arial" w:eastAsia="Arial" w:hAnsi="Arial" w:cs="Arial"/>
          <w:b/>
          <w:i/>
        </w:rPr>
      </w:pPr>
      <w:r w:rsidRPr="002F76DD">
        <w:rPr>
          <w:rFonts w:ascii="Arial" w:eastAsia="Arial" w:hAnsi="Arial" w:cs="Arial"/>
          <w:b/>
          <w:i/>
          <w:color w:val="131313"/>
        </w:rPr>
        <w:lastRenderedPageBreak/>
        <w:t>RESOLUTION</w:t>
      </w:r>
      <w:r w:rsidRPr="002F76DD">
        <w:rPr>
          <w:rFonts w:ascii="Arial" w:eastAsia="Arial" w:hAnsi="Arial" w:cs="Arial"/>
          <w:b/>
          <w:i/>
          <w:color w:val="131313"/>
          <w:spacing w:val="-11"/>
        </w:rPr>
        <w:t xml:space="preserve"> </w:t>
      </w:r>
      <w:r w:rsidRPr="002F76DD">
        <w:rPr>
          <w:rFonts w:ascii="Arial" w:eastAsia="Arial" w:hAnsi="Arial" w:cs="Arial"/>
          <w:b/>
          <w:i/>
          <w:color w:val="131313"/>
        </w:rPr>
        <w:t>NO.</w:t>
      </w:r>
      <w:r w:rsidRPr="002F76DD">
        <w:rPr>
          <w:rFonts w:ascii="Arial" w:eastAsia="Arial" w:hAnsi="Arial" w:cs="Arial"/>
          <w:b/>
          <w:i/>
          <w:color w:val="131313"/>
          <w:spacing w:val="8"/>
        </w:rPr>
        <w:t xml:space="preserve"> [</w:t>
      </w:r>
      <w:r w:rsidRPr="002F76DD">
        <w:rPr>
          <w:rFonts w:ascii="Arial" w:eastAsia="Arial" w:hAnsi="Arial" w:cs="Arial"/>
          <w:b/>
          <w:i/>
          <w:color w:val="131313"/>
        </w:rPr>
        <w:t>XX-</w:t>
      </w:r>
      <w:r w:rsidRPr="002F76DD">
        <w:rPr>
          <w:rFonts w:ascii="Arial" w:eastAsia="Arial" w:hAnsi="Arial" w:cs="Arial"/>
          <w:b/>
          <w:i/>
          <w:color w:val="131313"/>
          <w:spacing w:val="-7"/>
        </w:rPr>
        <w:t>XX]</w:t>
      </w:r>
      <w:r w:rsidRPr="002F76DD">
        <w:rPr>
          <w:rFonts w:ascii="Arial" w:eastAsia="Arial" w:hAnsi="Arial" w:cs="Arial"/>
          <w:b/>
          <w:i/>
          <w:color w:val="131313"/>
          <w:spacing w:val="-7"/>
        </w:rPr>
        <w:br/>
      </w:r>
    </w:p>
    <w:p w14:paraId="13B43DCC" w14:textId="77777777" w:rsidR="00F47F87" w:rsidRPr="002F76DD" w:rsidRDefault="00F47F87" w:rsidP="00F47F87">
      <w:pPr>
        <w:widowControl w:val="0"/>
        <w:spacing w:after="0"/>
        <w:ind w:left="222" w:right="174"/>
        <w:jc w:val="center"/>
        <w:rPr>
          <w:rFonts w:ascii="Arial" w:eastAsia="Arial" w:hAnsi="Arial" w:cs="Arial"/>
          <w:b/>
          <w:i/>
          <w:color w:val="131313"/>
        </w:rPr>
      </w:pPr>
      <w:r w:rsidRPr="002F76DD">
        <w:rPr>
          <w:rFonts w:ascii="Arial" w:eastAsia="Arial" w:hAnsi="Arial" w:cs="Arial"/>
          <w:b/>
          <w:i/>
          <w:color w:val="131313"/>
        </w:rPr>
        <w:t>Resolution</w:t>
      </w:r>
      <w:r w:rsidRPr="002F76DD">
        <w:rPr>
          <w:rFonts w:ascii="Arial" w:eastAsia="Arial" w:hAnsi="Arial" w:cs="Arial"/>
          <w:b/>
          <w:i/>
          <w:color w:val="131313"/>
          <w:spacing w:val="3"/>
        </w:rPr>
        <w:t xml:space="preserve"> </w:t>
      </w:r>
      <w:r w:rsidRPr="002F76DD">
        <w:rPr>
          <w:rFonts w:ascii="Arial" w:eastAsia="Arial" w:hAnsi="Arial" w:cs="Arial"/>
          <w:b/>
          <w:i/>
          <w:color w:val="131313"/>
        </w:rPr>
        <w:t>Of</w:t>
      </w:r>
      <w:r w:rsidRPr="002F76DD">
        <w:rPr>
          <w:rFonts w:ascii="Arial" w:eastAsia="Arial" w:hAnsi="Arial" w:cs="Arial"/>
          <w:b/>
          <w:i/>
          <w:color w:val="131313"/>
          <w:spacing w:val="-9"/>
        </w:rPr>
        <w:t xml:space="preserve"> </w:t>
      </w:r>
      <w:r w:rsidRPr="002F76DD">
        <w:rPr>
          <w:rFonts w:ascii="Arial" w:eastAsia="Arial" w:hAnsi="Arial" w:cs="Arial"/>
          <w:b/>
          <w:i/>
          <w:color w:val="131313"/>
        </w:rPr>
        <w:t>The</w:t>
      </w:r>
      <w:r w:rsidRPr="002F76DD">
        <w:rPr>
          <w:rFonts w:ascii="Arial" w:eastAsia="Arial" w:hAnsi="Arial" w:cs="Arial"/>
          <w:b/>
          <w:i/>
          <w:color w:val="131313"/>
          <w:spacing w:val="2"/>
        </w:rPr>
        <w:t xml:space="preserve"> [GOVERNING BODY—I.E., “CITY COUNCIL”] </w:t>
      </w:r>
      <w:r w:rsidRPr="002F76DD">
        <w:rPr>
          <w:rFonts w:ascii="Arial" w:eastAsia="Arial" w:hAnsi="Arial" w:cs="Arial"/>
          <w:b/>
          <w:i/>
          <w:color w:val="131313"/>
        </w:rPr>
        <w:t>Of</w:t>
      </w:r>
      <w:r w:rsidRPr="002F76DD">
        <w:rPr>
          <w:rFonts w:ascii="Arial" w:eastAsia="Arial" w:hAnsi="Arial" w:cs="Arial"/>
          <w:b/>
          <w:i/>
          <w:color w:val="131313"/>
          <w:spacing w:val="-10"/>
        </w:rPr>
        <w:t xml:space="preserve"> [</w:t>
      </w:r>
      <w:r w:rsidRPr="002F76DD">
        <w:rPr>
          <w:rFonts w:ascii="Arial" w:eastAsia="Arial" w:hAnsi="Arial" w:cs="Arial"/>
          <w:b/>
          <w:i/>
          <w:color w:val="131313"/>
        </w:rPr>
        <w:t xml:space="preserve">NAME OF JURISDICTION] Committing to Take Steps Toward Achieving Compliance </w:t>
      </w:r>
      <w:proofErr w:type="gramStart"/>
      <w:r w:rsidRPr="002F76DD">
        <w:rPr>
          <w:rFonts w:ascii="Arial" w:eastAsia="Arial" w:hAnsi="Arial" w:cs="Arial"/>
          <w:b/>
          <w:i/>
          <w:color w:val="131313"/>
        </w:rPr>
        <w:t>With</w:t>
      </w:r>
      <w:proofErr w:type="gramEnd"/>
      <w:r w:rsidRPr="002F76DD">
        <w:rPr>
          <w:rFonts w:ascii="Arial" w:eastAsia="Arial" w:hAnsi="Arial" w:cs="Arial"/>
          <w:b/>
          <w:i/>
          <w:color w:val="131313"/>
        </w:rPr>
        <w:t xml:space="preserve"> The Metropolitan Transportation Commission’s (MTC's) Transit-Oriented Communities (TOC) Policy as a Condition for MTC to Allocate Regional Discretionary Funding To The [NAME OF TRANSIT PROJECT] </w:t>
      </w:r>
    </w:p>
    <w:p w14:paraId="04B38032" w14:textId="77777777" w:rsidR="00F47F87" w:rsidRPr="002F76DD" w:rsidRDefault="00F47F87" w:rsidP="00F47F87">
      <w:pPr>
        <w:widowControl w:val="0"/>
        <w:spacing w:before="278" w:after="0"/>
        <w:ind w:left="211" w:right="117" w:firstLine="8"/>
        <w:rPr>
          <w:rFonts w:ascii="Arial" w:eastAsia="Arial" w:hAnsi="Arial" w:cs="Arial"/>
          <w:color w:val="131313"/>
          <w:spacing w:val="-5"/>
          <w:szCs w:val="24"/>
        </w:rPr>
      </w:pPr>
      <w:r w:rsidRPr="002F76DD">
        <w:rPr>
          <w:rFonts w:ascii="Arial" w:eastAsia="Arial" w:hAnsi="Arial" w:cs="Arial"/>
          <w:b/>
          <w:i/>
          <w:color w:val="131313"/>
          <w:szCs w:val="24"/>
        </w:rPr>
        <w:t xml:space="preserve">WHEREAS, </w:t>
      </w:r>
      <w:r w:rsidRPr="002F76DD">
        <w:rPr>
          <w:rFonts w:ascii="Arial" w:eastAsia="Arial" w:hAnsi="Arial" w:cs="Arial"/>
          <w:bCs/>
          <w:iCs/>
          <w:color w:val="131313"/>
          <w:szCs w:val="24"/>
        </w:rPr>
        <w:t>the Metropolitan Transportation Commission adopted Resolution 4530, the TOC Policy</w:t>
      </w:r>
      <w:r w:rsidRPr="002F76DD">
        <w:rPr>
          <w:rFonts w:ascii="Arial" w:eastAsia="Arial" w:hAnsi="Arial" w:cs="Arial"/>
          <w:color w:val="131313"/>
          <w:szCs w:val="24"/>
        </w:rPr>
        <w:t>;</w:t>
      </w:r>
      <w:r w:rsidRPr="002F76DD">
        <w:rPr>
          <w:rFonts w:ascii="Arial" w:eastAsia="Arial" w:hAnsi="Arial" w:cs="Arial"/>
          <w:color w:val="131313"/>
          <w:spacing w:val="14"/>
          <w:szCs w:val="24"/>
        </w:rPr>
        <w:t xml:space="preserve"> </w:t>
      </w:r>
      <w:r w:rsidRPr="002F76DD">
        <w:rPr>
          <w:rFonts w:ascii="Arial" w:eastAsia="Arial" w:hAnsi="Arial" w:cs="Arial"/>
          <w:color w:val="131313"/>
          <w:spacing w:val="-5"/>
          <w:szCs w:val="24"/>
        </w:rPr>
        <w:t>and</w:t>
      </w:r>
    </w:p>
    <w:p w14:paraId="7549C3C5"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proofErr w:type="gramEnd"/>
      <w:r w:rsidRPr="002F76DD">
        <w:rPr>
          <w:rFonts w:ascii="Arial" w:eastAsia="Arial" w:hAnsi="Arial" w:cs="Arial"/>
          <w:bCs/>
          <w:iCs/>
          <w:color w:val="131313"/>
          <w:szCs w:val="24"/>
        </w:rPr>
        <w:t xml:space="preserve"> the TOC Policy incentivizes local jurisdictions to plan and zone for higher residential and commercial densities in areas within one half-mile of existing and planned fixed-guideway transit stops and stations to support the region’s transit investments and implement key GHG reduction strategies from Plan Bay Area 2050; and </w:t>
      </w:r>
    </w:p>
    <w:p w14:paraId="29E852F4"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r w:rsidRPr="002F76DD">
        <w:rPr>
          <w:rFonts w:ascii="Arial" w:eastAsia="Arial" w:hAnsi="Arial" w:cs="Arial"/>
          <w:b/>
          <w:i/>
          <w:color w:val="131313"/>
          <w:szCs w:val="24"/>
        </w:rPr>
        <w:t>WHEREAS</w:t>
      </w:r>
      <w:r w:rsidRPr="002F76DD">
        <w:rPr>
          <w:rFonts w:ascii="Arial" w:eastAsia="Arial" w:hAnsi="Arial" w:cs="Arial"/>
          <w:bCs/>
          <w:iCs/>
          <w:color w:val="131313"/>
          <w:szCs w:val="24"/>
        </w:rPr>
        <w:t>, incentivizing local jurisdictions to also adopt policies focused on increasing housing production of all types, particularly affordable housing production, preservation and protection, commercial anti-displacement and stabilization, parking management, and transit station access and circulation further supports regional transit investments and Plan Bay Area 2050 implementation; and</w:t>
      </w:r>
    </w:p>
    <w:p w14:paraId="50C3342E"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Cs/>
          <w:iCs/>
          <w:color w:val="131313"/>
          <w:szCs w:val="24"/>
        </w:rPr>
        <w:t xml:space="preserve"> MTC conditions the allocation of regional discretionary funding for fixed-guideway transit extension projects on compliance with the TOC Policy; and </w:t>
      </w:r>
    </w:p>
    <w:p w14:paraId="6BB5A4DF"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Cs/>
          <w:iCs/>
          <w:color w:val="131313"/>
          <w:szCs w:val="24"/>
        </w:rPr>
        <w:t xml:space="preserve"> the TOC Policy establishes different compliance expectations for fixed-guideway transit extension projects based on the project’s delivery stage; and</w:t>
      </w:r>
    </w:p>
    <w:p w14:paraId="3282E8E3" w14:textId="77777777" w:rsidR="00F47F87" w:rsidRPr="002F76DD" w:rsidRDefault="00F47F87" w:rsidP="00F47F87">
      <w:pPr>
        <w:widowControl w:val="0"/>
        <w:spacing w:before="278" w:after="0"/>
        <w:ind w:left="211" w:right="117"/>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Cs/>
          <w:iCs/>
          <w:color w:val="131313"/>
          <w:szCs w:val="24"/>
        </w:rPr>
        <w:t xml:space="preserve"> [NAME OF AGENCY SPONSORING/IMPLEMENTING TRANSIT EXTENSION PROJECT] has submitted/will submit to MTC a request for [DOLLAR AMOUNT] from [NAME OF FUND SOURCE] for the [NAME OF TRANSIT EXTENSION PROJECT]; and </w:t>
      </w:r>
    </w:p>
    <w:p w14:paraId="632D1944" w14:textId="0DC86082"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Cs/>
          <w:iCs/>
          <w:color w:val="131313"/>
          <w:szCs w:val="24"/>
        </w:rPr>
        <w:t xml:space="preserve"> </w:t>
      </w:r>
      <w:r w:rsidR="002F76DD">
        <w:rPr>
          <w:rFonts w:ascii="Arial" w:eastAsia="Arial" w:hAnsi="Arial" w:cs="Arial"/>
          <w:bCs/>
          <w:iCs/>
          <w:color w:val="131313"/>
          <w:szCs w:val="24"/>
        </w:rPr>
        <w:t xml:space="preserve">the [NAME OR LOCATION OF FUTURE STOP OR STATION] </w:t>
      </w:r>
      <w:r w:rsidRPr="002F76DD">
        <w:rPr>
          <w:rFonts w:ascii="Arial" w:eastAsia="Arial" w:hAnsi="Arial" w:cs="Arial"/>
          <w:bCs/>
          <w:iCs/>
          <w:color w:val="131313"/>
          <w:szCs w:val="24"/>
        </w:rPr>
        <w:t>of the [</w:t>
      </w:r>
      <w:r w:rsidR="00B4021F">
        <w:rPr>
          <w:rFonts w:ascii="Arial" w:eastAsia="Arial" w:hAnsi="Arial" w:cs="Arial"/>
          <w:bCs/>
          <w:iCs/>
          <w:color w:val="131313"/>
          <w:szCs w:val="24"/>
        </w:rPr>
        <w:t xml:space="preserve">NAME OF </w:t>
      </w:r>
      <w:r w:rsidRPr="002F76DD">
        <w:rPr>
          <w:rFonts w:ascii="Arial" w:eastAsia="Arial" w:hAnsi="Arial" w:cs="Arial"/>
          <w:bCs/>
          <w:iCs/>
          <w:color w:val="131313"/>
          <w:szCs w:val="24"/>
        </w:rPr>
        <w:t xml:space="preserve">TRANSIT EXTENSION PROJECT] will be located in [NAME OF JURISDICTION]; and </w:t>
      </w:r>
    </w:p>
    <w:p w14:paraId="542F2682"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
          <w:iCs/>
          <w:color w:val="131313"/>
          <w:szCs w:val="24"/>
        </w:rPr>
        <w:t xml:space="preserve"> </w:t>
      </w:r>
      <w:r w:rsidRPr="002F76DD">
        <w:rPr>
          <w:rFonts w:ascii="Arial" w:eastAsia="Arial" w:hAnsi="Arial" w:cs="Arial"/>
          <w:bCs/>
          <w:iCs/>
          <w:color w:val="131313"/>
          <w:szCs w:val="24"/>
        </w:rPr>
        <w:t>a fixed-guideway transit extension</w:t>
      </w:r>
      <w:r w:rsidRPr="002F76DD">
        <w:rPr>
          <w:rFonts w:ascii="Arial" w:eastAsia="Arial" w:hAnsi="Arial" w:cs="Arial"/>
          <w:b/>
          <w:iCs/>
          <w:color w:val="131313"/>
          <w:szCs w:val="24"/>
        </w:rPr>
        <w:t xml:space="preserve"> </w:t>
      </w:r>
      <w:r w:rsidRPr="002F76DD">
        <w:rPr>
          <w:rFonts w:ascii="Arial" w:eastAsia="Arial" w:hAnsi="Arial" w:cs="Arial"/>
          <w:bCs/>
          <w:iCs/>
          <w:color w:val="131313"/>
          <w:szCs w:val="24"/>
        </w:rPr>
        <w:t xml:space="preserve">project in the Project Design and Early Right-of-Way Acquisition stage must obtain from any jurisdiction where a future stop or station will be located a commitment to take steps toward achieving compliance with the TOC Policy by 2026 for the station area in order for the project to receive regional discretionary funding from MTC; and </w:t>
      </w:r>
    </w:p>
    <w:p w14:paraId="2FE53D24" w14:textId="77777777" w:rsidR="00F47F87" w:rsidRPr="002F76DD" w:rsidRDefault="00F47F87" w:rsidP="00F47F87">
      <w:pPr>
        <w:widowControl w:val="0"/>
        <w:spacing w:before="278" w:after="0"/>
        <w:ind w:left="211" w:right="117" w:firstLine="8"/>
        <w:rPr>
          <w:rFonts w:ascii="Arial" w:eastAsia="Arial" w:hAnsi="Arial" w:cs="Arial"/>
          <w:bCs/>
          <w:iCs/>
          <w:color w:val="131313"/>
          <w:szCs w:val="24"/>
        </w:rPr>
      </w:pPr>
      <w:proofErr w:type="gramStart"/>
      <w:r w:rsidRPr="002F76DD">
        <w:rPr>
          <w:rFonts w:ascii="Arial" w:eastAsia="Arial" w:hAnsi="Arial" w:cs="Arial"/>
          <w:b/>
          <w:i/>
          <w:color w:val="131313"/>
          <w:szCs w:val="24"/>
        </w:rPr>
        <w:t>WHEREAS</w:t>
      </w:r>
      <w:r w:rsidRPr="002F76DD">
        <w:rPr>
          <w:rFonts w:ascii="Arial" w:eastAsia="Arial" w:hAnsi="Arial" w:cs="Arial"/>
          <w:bCs/>
          <w:iCs/>
          <w:color w:val="131313"/>
          <w:szCs w:val="24"/>
        </w:rPr>
        <w:t>,</w:t>
      </w:r>
      <w:proofErr w:type="gramEnd"/>
      <w:r w:rsidRPr="002F76DD">
        <w:rPr>
          <w:rFonts w:ascii="Arial" w:eastAsia="Arial" w:hAnsi="Arial" w:cs="Arial"/>
          <w:b/>
          <w:iCs/>
          <w:color w:val="131313"/>
          <w:szCs w:val="24"/>
        </w:rPr>
        <w:t xml:space="preserve"> </w:t>
      </w:r>
      <w:r w:rsidRPr="002F76DD">
        <w:rPr>
          <w:rFonts w:ascii="Arial" w:eastAsia="Arial" w:hAnsi="Arial" w:cs="Arial"/>
          <w:bCs/>
          <w:iCs/>
          <w:color w:val="131313"/>
          <w:szCs w:val="24"/>
        </w:rPr>
        <w:t xml:space="preserve">the jurisdiction’s commitment must state specific steps being taken for the station area for each of the four TOC Policy areas (density, affordability, parking, </w:t>
      </w:r>
      <w:r w:rsidRPr="002F76DD">
        <w:rPr>
          <w:rFonts w:ascii="Arial" w:eastAsia="Arial" w:hAnsi="Arial" w:cs="Arial"/>
          <w:bCs/>
          <w:iCs/>
          <w:color w:val="131313"/>
          <w:szCs w:val="24"/>
        </w:rPr>
        <w:lastRenderedPageBreak/>
        <w:t>and access/circulation), now, therefore, be it</w:t>
      </w:r>
    </w:p>
    <w:p w14:paraId="086767D9" w14:textId="0DB79C4C" w:rsidR="00F47F87" w:rsidRPr="002F76DD" w:rsidRDefault="00F47F87" w:rsidP="00F47F87">
      <w:pPr>
        <w:widowControl w:val="0"/>
        <w:spacing w:before="279" w:after="0"/>
        <w:ind w:left="234" w:right="101" w:hanging="9"/>
        <w:rPr>
          <w:rFonts w:ascii="Arial" w:eastAsia="Arial" w:hAnsi="Arial" w:cs="Arial"/>
          <w:color w:val="131313"/>
          <w:szCs w:val="24"/>
        </w:rPr>
      </w:pPr>
      <w:commentRangeStart w:id="3"/>
      <w:r w:rsidRPr="002F76DD">
        <w:rPr>
          <w:rFonts w:ascii="Arial" w:eastAsia="Arial" w:hAnsi="Arial" w:cs="Arial"/>
          <w:b/>
          <w:i/>
          <w:color w:val="131313"/>
          <w:szCs w:val="24"/>
        </w:rPr>
        <w:t xml:space="preserve">RESOLVED, </w:t>
      </w:r>
      <w:r w:rsidRPr="002F76DD">
        <w:rPr>
          <w:rFonts w:ascii="Arial" w:eastAsia="Arial" w:hAnsi="Arial" w:cs="Arial"/>
          <w:color w:val="131313"/>
          <w:szCs w:val="24"/>
        </w:rPr>
        <w:t xml:space="preserve">that [GOVERNING BODY] commits to [SPECIFIC ACTION] to comply with the TOC Policy’s density requirements by </w:t>
      </w:r>
      <w:r w:rsidR="005A38D0">
        <w:rPr>
          <w:rFonts w:ascii="Arial" w:eastAsia="Arial" w:hAnsi="Arial" w:cs="Arial"/>
          <w:color w:val="131313"/>
          <w:szCs w:val="24"/>
        </w:rPr>
        <w:t xml:space="preserve">the </w:t>
      </w:r>
      <w:r w:rsidRPr="002F76DD">
        <w:rPr>
          <w:rFonts w:ascii="Arial" w:eastAsia="Arial" w:hAnsi="Arial" w:cs="Arial"/>
          <w:color w:val="131313"/>
          <w:szCs w:val="24"/>
        </w:rPr>
        <w:t>2026</w:t>
      </w:r>
      <w:r w:rsidR="005A38D0">
        <w:rPr>
          <w:rFonts w:ascii="Arial" w:eastAsia="Arial" w:hAnsi="Arial" w:cs="Arial"/>
          <w:color w:val="131313"/>
          <w:szCs w:val="24"/>
        </w:rPr>
        <w:t xml:space="preserve"> deadline</w:t>
      </w:r>
      <w:r w:rsidRPr="002F76DD">
        <w:rPr>
          <w:rFonts w:ascii="Arial" w:eastAsia="Arial" w:hAnsi="Arial" w:cs="Arial"/>
          <w:color w:val="131313"/>
          <w:szCs w:val="24"/>
        </w:rPr>
        <w:t>; and</w:t>
      </w:r>
      <w:commentRangeEnd w:id="3"/>
      <w:r w:rsidRPr="002F76DD">
        <w:rPr>
          <w:rStyle w:val="CommentReference"/>
        </w:rPr>
        <w:commentReference w:id="3"/>
      </w:r>
    </w:p>
    <w:p w14:paraId="0207942D" w14:textId="73D706AC" w:rsidR="00F47F87" w:rsidRPr="002F76DD" w:rsidRDefault="00F47F87" w:rsidP="00F47F87">
      <w:pPr>
        <w:widowControl w:val="0"/>
        <w:spacing w:before="279" w:after="0"/>
        <w:ind w:left="234" w:right="101" w:hanging="9"/>
        <w:rPr>
          <w:rFonts w:ascii="Arial" w:eastAsia="Arial" w:hAnsi="Arial" w:cs="Arial"/>
          <w:color w:val="131313"/>
          <w:szCs w:val="24"/>
        </w:rPr>
      </w:pPr>
      <w:r w:rsidRPr="002F76DD">
        <w:rPr>
          <w:rFonts w:ascii="Arial" w:eastAsia="Arial" w:hAnsi="Arial" w:cs="Arial"/>
          <w:b/>
          <w:i/>
          <w:color w:val="131313"/>
          <w:szCs w:val="24"/>
        </w:rPr>
        <w:t xml:space="preserve">RESOLVED, </w:t>
      </w:r>
      <w:r w:rsidRPr="002F76DD">
        <w:rPr>
          <w:rFonts w:ascii="Arial" w:eastAsia="Arial" w:hAnsi="Arial" w:cs="Arial"/>
          <w:color w:val="131313"/>
          <w:szCs w:val="24"/>
        </w:rPr>
        <w:t xml:space="preserve">that [GOVERNING BODY] commits to [SPECIFIC ACTION] to comply with the TOC Policy’s housing affordability requirements by </w:t>
      </w:r>
      <w:r w:rsidR="005A38D0">
        <w:rPr>
          <w:rFonts w:ascii="Arial" w:eastAsia="Arial" w:hAnsi="Arial" w:cs="Arial"/>
          <w:color w:val="131313"/>
          <w:szCs w:val="24"/>
        </w:rPr>
        <w:t xml:space="preserve">the </w:t>
      </w:r>
      <w:r w:rsidRPr="002F76DD">
        <w:rPr>
          <w:rFonts w:ascii="Arial" w:eastAsia="Arial" w:hAnsi="Arial" w:cs="Arial"/>
          <w:color w:val="131313"/>
          <w:szCs w:val="24"/>
        </w:rPr>
        <w:t>2026</w:t>
      </w:r>
      <w:r w:rsidR="005A38D0">
        <w:rPr>
          <w:rFonts w:ascii="Arial" w:eastAsia="Arial" w:hAnsi="Arial" w:cs="Arial"/>
          <w:color w:val="131313"/>
          <w:szCs w:val="24"/>
        </w:rPr>
        <w:t xml:space="preserve"> deadline</w:t>
      </w:r>
      <w:r w:rsidRPr="002F76DD">
        <w:rPr>
          <w:rFonts w:ascii="Arial" w:eastAsia="Arial" w:hAnsi="Arial" w:cs="Arial"/>
          <w:color w:val="131313"/>
          <w:szCs w:val="24"/>
        </w:rPr>
        <w:t>; and</w:t>
      </w:r>
    </w:p>
    <w:p w14:paraId="77CC397E" w14:textId="057AD33F" w:rsidR="00F47F87" w:rsidRPr="002F76DD" w:rsidRDefault="00F47F87" w:rsidP="00F47F87">
      <w:pPr>
        <w:widowControl w:val="0"/>
        <w:spacing w:before="279" w:after="0"/>
        <w:ind w:left="234" w:right="101" w:hanging="9"/>
        <w:rPr>
          <w:rFonts w:ascii="Arial" w:eastAsia="Arial" w:hAnsi="Arial" w:cs="Arial"/>
          <w:color w:val="131313"/>
          <w:szCs w:val="24"/>
        </w:rPr>
      </w:pPr>
      <w:r w:rsidRPr="002F76DD">
        <w:rPr>
          <w:rFonts w:ascii="Arial" w:eastAsia="Arial" w:hAnsi="Arial" w:cs="Arial"/>
          <w:b/>
          <w:i/>
          <w:color w:val="131313"/>
          <w:szCs w:val="24"/>
        </w:rPr>
        <w:t xml:space="preserve">RESOLVED, </w:t>
      </w:r>
      <w:r w:rsidRPr="002F76DD">
        <w:rPr>
          <w:rFonts w:ascii="Arial" w:eastAsia="Arial" w:hAnsi="Arial" w:cs="Arial"/>
          <w:color w:val="131313"/>
          <w:szCs w:val="24"/>
        </w:rPr>
        <w:t xml:space="preserve">that [GOVERNING BODY] commits to [SPECIFIC ACTION] to comply with the TOC Policy’s parking requirements by </w:t>
      </w:r>
      <w:r w:rsidR="005A38D0">
        <w:rPr>
          <w:rFonts w:ascii="Arial" w:eastAsia="Arial" w:hAnsi="Arial" w:cs="Arial"/>
          <w:color w:val="131313"/>
          <w:szCs w:val="24"/>
        </w:rPr>
        <w:t xml:space="preserve">the </w:t>
      </w:r>
      <w:r w:rsidR="005A38D0" w:rsidRPr="002F76DD">
        <w:rPr>
          <w:rFonts w:ascii="Arial" w:eastAsia="Arial" w:hAnsi="Arial" w:cs="Arial"/>
          <w:color w:val="131313"/>
          <w:szCs w:val="24"/>
        </w:rPr>
        <w:t>2026</w:t>
      </w:r>
      <w:r w:rsidR="005A38D0">
        <w:rPr>
          <w:rFonts w:ascii="Arial" w:eastAsia="Arial" w:hAnsi="Arial" w:cs="Arial"/>
          <w:color w:val="131313"/>
          <w:szCs w:val="24"/>
        </w:rPr>
        <w:t xml:space="preserve"> deadline</w:t>
      </w:r>
      <w:r w:rsidRPr="002F76DD">
        <w:rPr>
          <w:rFonts w:ascii="Arial" w:eastAsia="Arial" w:hAnsi="Arial" w:cs="Arial"/>
          <w:color w:val="131313"/>
          <w:szCs w:val="24"/>
        </w:rPr>
        <w:t>; and</w:t>
      </w:r>
    </w:p>
    <w:p w14:paraId="70C68AFD" w14:textId="2110FEDA" w:rsidR="00F47F87" w:rsidRPr="004960B4" w:rsidRDefault="00F47F87" w:rsidP="00F47F87">
      <w:pPr>
        <w:widowControl w:val="0"/>
        <w:spacing w:before="279" w:after="0"/>
        <w:ind w:left="234" w:right="101" w:hanging="9"/>
        <w:rPr>
          <w:rFonts w:ascii="Arial" w:eastAsia="Arial" w:hAnsi="Arial" w:cs="Arial"/>
          <w:color w:val="131313"/>
          <w:szCs w:val="24"/>
        </w:rPr>
      </w:pPr>
      <w:r w:rsidRPr="002F76DD">
        <w:rPr>
          <w:rFonts w:ascii="Arial" w:eastAsia="Arial" w:hAnsi="Arial" w:cs="Arial"/>
          <w:b/>
          <w:i/>
          <w:color w:val="131313"/>
          <w:szCs w:val="24"/>
        </w:rPr>
        <w:t xml:space="preserve">RESOLVED, </w:t>
      </w:r>
      <w:r w:rsidRPr="002F76DD">
        <w:rPr>
          <w:rFonts w:ascii="Arial" w:eastAsia="Arial" w:hAnsi="Arial" w:cs="Arial"/>
          <w:color w:val="131313"/>
          <w:szCs w:val="24"/>
        </w:rPr>
        <w:t xml:space="preserve">that [GOVERNING BODY] commits to [SPECIFIC ACTION] to comply with the TOC Policy’s access/circulation requirements by </w:t>
      </w:r>
      <w:r w:rsidR="005A38D0">
        <w:rPr>
          <w:rFonts w:ascii="Arial" w:eastAsia="Arial" w:hAnsi="Arial" w:cs="Arial"/>
          <w:color w:val="131313"/>
          <w:szCs w:val="24"/>
        </w:rPr>
        <w:t xml:space="preserve">the </w:t>
      </w:r>
      <w:r w:rsidR="005A38D0" w:rsidRPr="002F76DD">
        <w:rPr>
          <w:rFonts w:ascii="Arial" w:eastAsia="Arial" w:hAnsi="Arial" w:cs="Arial"/>
          <w:color w:val="131313"/>
          <w:szCs w:val="24"/>
        </w:rPr>
        <w:t>2026</w:t>
      </w:r>
      <w:r w:rsidR="005A38D0">
        <w:rPr>
          <w:rFonts w:ascii="Arial" w:eastAsia="Arial" w:hAnsi="Arial" w:cs="Arial"/>
          <w:color w:val="131313"/>
          <w:szCs w:val="24"/>
        </w:rPr>
        <w:t xml:space="preserve"> deadline</w:t>
      </w:r>
      <w:r w:rsidRPr="002F76DD">
        <w:rPr>
          <w:rFonts w:ascii="Arial" w:eastAsia="Arial" w:hAnsi="Arial" w:cs="Arial"/>
          <w:color w:val="131313"/>
          <w:szCs w:val="24"/>
        </w:rPr>
        <w:t>.</w:t>
      </w:r>
    </w:p>
    <w:p w14:paraId="425AC533" w14:textId="77777777" w:rsidR="007A57CE" w:rsidRDefault="007A57CE"/>
    <w:sectPr w:rsidR="007A57CE">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lian Adams" w:date="2024-02-22T15:32:00Z" w:initials="GA">
    <w:p w14:paraId="2F6B8004" w14:textId="77777777" w:rsidR="00C83221" w:rsidRDefault="00C83221" w:rsidP="00C83221">
      <w:pPr>
        <w:pStyle w:val="CommentText"/>
      </w:pPr>
      <w:r>
        <w:rPr>
          <w:rStyle w:val="CommentReference"/>
        </w:rPr>
        <w:annotationRef/>
      </w:r>
      <w:r>
        <w:t>INSTRUCTIONS: A jurisdiction or project sponsor must submit a letter OR a resolution (not both)</w:t>
      </w:r>
    </w:p>
  </w:comment>
  <w:comment w:id="1" w:author="Gillian Adams" w:date="2023-11-09T15:01:00Z" w:initials="GA">
    <w:p w14:paraId="0868AD98" w14:textId="793E239E" w:rsidR="0058231D" w:rsidRDefault="001F2F6A" w:rsidP="00751284">
      <w:pPr>
        <w:pStyle w:val="CommentText"/>
      </w:pPr>
      <w:r>
        <w:rPr>
          <w:rStyle w:val="CommentReference"/>
        </w:rPr>
        <w:annotationRef/>
      </w:r>
      <w:r w:rsidR="0058231D">
        <w:t xml:space="preserve">INSTRUCTIONS: See sample commitment letters from </w:t>
      </w:r>
      <w:hyperlink r:id="rId1" w:history="1">
        <w:r w:rsidR="0058231D" w:rsidRPr="00751284">
          <w:rPr>
            <w:rStyle w:val="Hyperlink"/>
          </w:rPr>
          <w:t>San Jose</w:t>
        </w:r>
      </w:hyperlink>
      <w:r w:rsidR="0058231D">
        <w:t xml:space="preserve"> and </w:t>
      </w:r>
      <w:hyperlink r:id="rId2" w:history="1">
        <w:r w:rsidR="0058231D" w:rsidRPr="00751284">
          <w:rPr>
            <w:rStyle w:val="Hyperlink"/>
          </w:rPr>
          <w:t>San Francisco</w:t>
        </w:r>
      </w:hyperlink>
      <w:r w:rsidR="0058231D">
        <w:t>.</w:t>
      </w:r>
    </w:p>
  </w:comment>
  <w:comment w:id="2" w:author="Gillian Adams" w:date="2023-11-09T15:02:00Z" w:initials="GA">
    <w:p w14:paraId="3A9C8F8F" w14:textId="2D6DF22A" w:rsidR="00474863" w:rsidRDefault="001F2F6A">
      <w:pPr>
        <w:pStyle w:val="CommentText"/>
      </w:pPr>
      <w:r>
        <w:rPr>
          <w:rStyle w:val="CommentReference"/>
        </w:rPr>
        <w:annotationRef/>
      </w:r>
      <w:r w:rsidR="00474863">
        <w:t>INSTRUCTIONS: Use the alternate text below if a stop or station area already complies with a component of the TOC Policy:</w:t>
      </w:r>
    </w:p>
    <w:p w14:paraId="233C30D3" w14:textId="77777777" w:rsidR="00474863" w:rsidRDefault="00474863">
      <w:pPr>
        <w:pStyle w:val="CommentText"/>
      </w:pPr>
    </w:p>
    <w:p w14:paraId="5D6EE06E" w14:textId="77777777" w:rsidR="00474863" w:rsidRDefault="00474863" w:rsidP="009E1CE5">
      <w:pPr>
        <w:pStyle w:val="CommentText"/>
      </w:pPr>
      <w:r>
        <w:t>As demonstrated above, the [NAME OF STOP OR STATION AREA] complies with the requirements of the TOC Policy for [NAME OF TOC POLICY COMPONENT]. However, the [NAME OF JURISDICTION] commits to addressing any areas of non-compliance with the TOC Policy prior to the 2026 deadline.</w:t>
      </w:r>
    </w:p>
  </w:comment>
  <w:comment w:id="3" w:author="Gillian Adams" w:date="2023-11-06T10:49:00Z" w:initials="GA">
    <w:p w14:paraId="27EB7CA9" w14:textId="77777777" w:rsidR="00474863" w:rsidRDefault="00F47F87">
      <w:pPr>
        <w:pStyle w:val="CommentText"/>
      </w:pPr>
      <w:r>
        <w:rPr>
          <w:rStyle w:val="CommentReference"/>
        </w:rPr>
        <w:annotationRef/>
      </w:r>
      <w:r w:rsidR="00474863">
        <w:t>INSTRUCTIONS: Use the alternate text below if a stop or station area already complies with a component of the TOC Policy:</w:t>
      </w:r>
    </w:p>
    <w:p w14:paraId="101A1ABE" w14:textId="77777777" w:rsidR="00474863" w:rsidRDefault="00474863">
      <w:pPr>
        <w:pStyle w:val="CommentText"/>
      </w:pPr>
    </w:p>
    <w:p w14:paraId="1E0FE198" w14:textId="77777777" w:rsidR="00474863" w:rsidRDefault="00474863" w:rsidP="00090886">
      <w:pPr>
        <w:pStyle w:val="CommentText"/>
      </w:pPr>
      <w:r>
        <w:t>RESOLVED, that if further analysis determines that the [NAME OF STOP OR STATION AREA] is not in compliance with TOC Policy [NAME OF TOC POLICY COMPONENT] requirements, the [GOVERNING BODY] commits to addressing any areas of non-compliance with the TOC Policy prior to the 2026 deadline.]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B8004" w15:done="0"/>
  <w15:commentEx w15:paraId="0868AD98" w15:done="0"/>
  <w15:commentEx w15:paraId="5D6EE06E" w15:done="0"/>
  <w15:commentEx w15:paraId="1E0FE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4A831E" w16cex:dateUtc="2024-02-22T23:32:00Z"/>
  <w16cex:commentExtensible w16cex:durableId="6BA31BF9" w16cex:dateUtc="2023-11-09T23:01:00Z">
    <w16cex:extLst>
      <w16:ext w16:uri="{CE6994B0-6A32-4C9F-8C6B-6E91EDA988CE}">
        <cr:reactions xmlns:cr="http://schemas.microsoft.com/office/comments/2020/reactions">
          <cr:reaction reactionType="1">
            <cr:reactionInfo dateUtc="2023-11-16T12:20:29Z">
              <cr:user userId="S::dsaver@bayareametro.gov::f10a3156-3e0c-4910-935a-fbed9734fd61" userProvider="AD" userName="Daniel Saver"/>
            </cr:reactionInfo>
          </cr:reaction>
        </cr:reactions>
      </w16:ext>
    </w16cex:extLst>
  </w16cex:commentExtensible>
  <w16cex:commentExtensible w16cex:durableId="565148B3" w16cex:dateUtc="2023-11-09T23:02:00Z"/>
  <w16cex:commentExtensible w16cex:durableId="21628BA3" w16cex:dateUtc="2023-11-06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B8004" w16cid:durableId="454A831E"/>
  <w16cid:commentId w16cid:paraId="0868AD98" w16cid:durableId="6BA31BF9"/>
  <w16cid:commentId w16cid:paraId="5D6EE06E" w16cid:durableId="565148B3"/>
  <w16cid:commentId w16cid:paraId="1E0FE198" w16cid:durableId="21628B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DE462E"/>
    <w:lvl w:ilvl="0">
      <w:numFmt w:val="decimal"/>
      <w:pStyle w:val="ListParagraph"/>
      <w:lvlText w:val="*"/>
      <w:lvlJc w:val="left"/>
    </w:lvl>
  </w:abstractNum>
  <w:abstractNum w:abstractNumId="1" w15:restartNumberingAfterBreak="0">
    <w:nsid w:val="73F66DA6"/>
    <w:multiLevelType w:val="hybridMultilevel"/>
    <w:tmpl w:val="DDD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96443">
    <w:abstractNumId w:val="0"/>
    <w:lvlOverride w:ilvl="0">
      <w:lvl w:ilvl="0">
        <w:start w:val="1"/>
        <w:numFmt w:val="bullet"/>
        <w:pStyle w:val="ListParagraph"/>
        <w:lvlText w:val=""/>
        <w:legacy w:legacy="1" w:legacySpace="0" w:legacyIndent="360"/>
        <w:lvlJc w:val="left"/>
        <w:pPr>
          <w:ind w:left="360" w:hanging="360"/>
        </w:pPr>
        <w:rPr>
          <w:rFonts w:ascii="Symbol" w:hAnsi="Symbol" w:hint="default"/>
        </w:rPr>
      </w:lvl>
    </w:lvlOverride>
  </w:num>
  <w:num w:numId="2" w16cid:durableId="14900936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Adams">
    <w15:presenceInfo w15:providerId="AD" w15:userId="S::gadams@bayareametro.gov::d6a2aaee-dd48-40fd-8b62-914f55341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A"/>
    <w:rsid w:val="00037057"/>
    <w:rsid w:val="000B4478"/>
    <w:rsid w:val="000C6691"/>
    <w:rsid w:val="000F581A"/>
    <w:rsid w:val="001F2F6A"/>
    <w:rsid w:val="002937C7"/>
    <w:rsid w:val="002F76DD"/>
    <w:rsid w:val="0047068C"/>
    <w:rsid w:val="00474863"/>
    <w:rsid w:val="00527DF9"/>
    <w:rsid w:val="00574EFF"/>
    <w:rsid w:val="0058231D"/>
    <w:rsid w:val="00582AFC"/>
    <w:rsid w:val="005A38D0"/>
    <w:rsid w:val="006273E1"/>
    <w:rsid w:val="007A57CE"/>
    <w:rsid w:val="00851A0D"/>
    <w:rsid w:val="009147EE"/>
    <w:rsid w:val="00A559DB"/>
    <w:rsid w:val="00B4021F"/>
    <w:rsid w:val="00C83221"/>
    <w:rsid w:val="00C832D2"/>
    <w:rsid w:val="00CC426F"/>
    <w:rsid w:val="00F47F87"/>
    <w:rsid w:val="00F63846"/>
    <w:rsid w:val="00F6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C2A"/>
  <w15:chartTrackingRefBased/>
  <w15:docId w15:val="{3FC672C1-41D1-4AD8-B340-C7DEB5F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1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1A"/>
    <w:rPr>
      <w:color w:val="0563C1" w:themeColor="hyperlink"/>
      <w:u w:val="single"/>
    </w:rPr>
  </w:style>
  <w:style w:type="paragraph" w:styleId="ListParagraph">
    <w:name w:val="List Paragraph"/>
    <w:basedOn w:val="Normal"/>
    <w:uiPriority w:val="34"/>
    <w:qFormat/>
    <w:rsid w:val="000F581A"/>
    <w:pPr>
      <w:numPr>
        <w:numId w:val="1"/>
      </w:numPr>
      <w:contextualSpacing/>
    </w:pPr>
  </w:style>
  <w:style w:type="character" w:styleId="CommentReference">
    <w:name w:val="annotation reference"/>
    <w:basedOn w:val="DefaultParagraphFont"/>
    <w:uiPriority w:val="99"/>
    <w:semiHidden/>
    <w:unhideWhenUsed/>
    <w:rsid w:val="000F581A"/>
    <w:rPr>
      <w:sz w:val="16"/>
      <w:szCs w:val="16"/>
    </w:rPr>
  </w:style>
  <w:style w:type="paragraph" w:styleId="CommentText">
    <w:name w:val="annotation text"/>
    <w:basedOn w:val="Normal"/>
    <w:link w:val="CommentTextChar"/>
    <w:uiPriority w:val="99"/>
    <w:unhideWhenUsed/>
    <w:rsid w:val="000F581A"/>
    <w:pPr>
      <w:overflowPunct/>
      <w:autoSpaceDE/>
      <w:autoSpaceDN/>
      <w:adjustRightInd/>
      <w:spacing w:after="0"/>
      <w:textAlignment w:val="auto"/>
    </w:pPr>
    <w:rPr>
      <w:rFonts w:ascii="Calibri" w:eastAsiaTheme="minorHAnsi" w:hAnsi="Calibri" w:cs="Calibri"/>
      <w:sz w:val="20"/>
      <w14:ligatures w14:val="standardContextual"/>
    </w:rPr>
  </w:style>
  <w:style w:type="character" w:customStyle="1" w:styleId="CommentTextChar">
    <w:name w:val="Comment Text Char"/>
    <w:basedOn w:val="DefaultParagraphFont"/>
    <w:link w:val="CommentText"/>
    <w:uiPriority w:val="99"/>
    <w:rsid w:val="000F581A"/>
    <w:rPr>
      <w:rFonts w:ascii="Calibri" w:hAnsi="Calibri" w:cs="Calibri"/>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1F2F6A"/>
    <w:pPr>
      <w:overflowPunct w:val="0"/>
      <w:autoSpaceDE w:val="0"/>
      <w:autoSpaceDN w:val="0"/>
      <w:adjustRightInd w:val="0"/>
      <w:spacing w:after="240"/>
      <w:textAlignment w:val="baseline"/>
    </w:pPr>
    <w:rPr>
      <w:rFonts w:ascii="Times New Roman" w:eastAsia="Times New Roman" w:hAnsi="Times New Roman" w:cs="Times New Roman"/>
      <w:b/>
      <w:bCs/>
      <w14:ligatures w14:val="none"/>
    </w:rPr>
  </w:style>
  <w:style w:type="character" w:customStyle="1" w:styleId="CommentSubjectChar">
    <w:name w:val="Comment Subject Char"/>
    <w:basedOn w:val="CommentTextChar"/>
    <w:link w:val="CommentSubject"/>
    <w:uiPriority w:val="99"/>
    <w:semiHidden/>
    <w:rsid w:val="001F2F6A"/>
    <w:rPr>
      <w:rFonts w:ascii="Times New Roman" w:eastAsia="Times New Roman" w:hAnsi="Times New Roman" w:cs="Times New Roman"/>
      <w:b/>
      <w:bCs/>
      <w:sz w:val="20"/>
      <w:szCs w:val="20"/>
      <w14:ligatures w14:val="standardContextual"/>
    </w:rPr>
  </w:style>
  <w:style w:type="character" w:styleId="UnresolvedMention">
    <w:name w:val="Unresolved Mention"/>
    <w:basedOn w:val="DefaultParagraphFont"/>
    <w:uiPriority w:val="99"/>
    <w:semiHidden/>
    <w:unhideWhenUsed/>
    <w:rsid w:val="001F2F6A"/>
    <w:rPr>
      <w:color w:val="605E5C"/>
      <w:shd w:val="clear" w:color="auto" w:fill="E1DFDD"/>
    </w:rPr>
  </w:style>
  <w:style w:type="paragraph" w:styleId="Revision">
    <w:name w:val="Revision"/>
    <w:hidden/>
    <w:uiPriority w:val="99"/>
    <w:semiHidden/>
    <w:rsid w:val="00F638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tc.legistar.com/View.ashx?M=F&amp;ID=12448537&amp;GUID=311A5450-F9FC-4D0F-831C-8D565D7C269C" TargetMode="External"/><Relationship Id="rId1" Type="http://schemas.openxmlformats.org/officeDocument/2006/relationships/hyperlink" Target="https://mtc.legistar.com/View.ashx?M=F&amp;ID=12388031&amp;GUID=5247B8B2-71B9-4CE5-A6A5-0552948A572C"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c.ca.gov/digital-library/5023449-mtc-resolution-number-4530-transit-oriented-communiti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Adams</dc:creator>
  <cp:keywords/>
  <dc:description/>
  <cp:lastModifiedBy>Gillian Adams</cp:lastModifiedBy>
  <cp:revision>8</cp:revision>
  <dcterms:created xsi:type="dcterms:W3CDTF">2023-11-15T20:31:00Z</dcterms:created>
  <dcterms:modified xsi:type="dcterms:W3CDTF">2024-02-22T23:32:00Z</dcterms:modified>
</cp:coreProperties>
</file>